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bookmarkStart w:id="0" w:name="SectionMark2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29210</wp:posOffset>
                </wp:positionH>
                <wp:positionV relativeFrom="page">
                  <wp:posOffset>9289415</wp:posOffset>
                </wp:positionV>
                <wp:extent cx="6120130" cy="0"/>
                <wp:effectExtent l="0" t="0" r="0" b="0"/>
                <wp:wrapNone/>
                <wp:docPr id="17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2.3pt;margin-top:731.45pt;height:0pt;width:481.9pt;mso-position-vertical-relative:page;z-index:251670528;mso-width-relative:page;mso-height-relative:page;" filled="f" stroked="t" coordsize="21600,21600" o:gfxdata="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WU&#10;/9LWAAAACwEAAA8AAAAAAAAAAQAgAAAAIgAAAGRycy9kb3ducmV2LnhtbFBLAQIUABQAAAAIAIdO&#10;4kBErGPk7AEAANk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  <w:r>
        <w:rPr>
          <w:rFonts w:hint="eastAsia" w:ascii="黑体" w:hAnsi="黑体" w:eastAsia="黑体" w:cs="黑体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2286000</wp:posOffset>
                </wp:positionV>
                <wp:extent cx="6120130" cy="0"/>
                <wp:effectExtent l="0" t="0" r="0" b="0"/>
                <wp:wrapNone/>
                <wp:docPr id="16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margin-left:-0.7pt;margin-top:180pt;height:0pt;width:481.9pt;z-index:251669504;mso-width-relative:page;mso-height-relative:page;" filled="f" stroked="t" coordsize="21600,21600" o:gfxdata="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6ky3&#10;69UAAAAKAQAADwAAAAAAAAABACAAAAAiAAAAZHJzL2Rvd25yZXYueG1sUEsBAhQAFAAAAAgAh07i&#10;QE73IyDsAQAA2Q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0"/>
                <wp:wrapNone/>
                <wp:docPr id="15" name="fm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7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ICS 71.100.70</w:t>
                            </w:r>
                          </w:p>
                          <w:p>
                            <w:pPr>
                              <w:pStyle w:val="97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Y 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1" o:spid="_x0000_s1026" o:spt="202" type="#_x0000_t202" style="position:absolute;left:0pt;margin-left:0pt;margin-top:0pt;height:51.8pt;width:200pt;mso-position-horizontal-relative:margin;mso-position-vertical-relative:margin;z-index:251668480;mso-width-relative:page;mso-height-relative:page;" fillcolor="#FFFFFF" filled="t" stroked="f" coordsize="21600,21600" o:gfxdata="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F7Mvg0wAAAAUBAAAPAAAAAAAAAAEAIAAAACIAAABkcnMvZG93bnJldi54bWxQSwECFAAU&#10;AAAACACHTuJAelyZtfYBAAD8AwAADgAAAAAAAAABACAAAAAiAQAAZHJzL2Uyb0RvYy54bWxQSwUG&#10;AAAAAAYABgBZAQAAi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7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ICS 71.100.70</w:t>
                      </w:r>
                    </w:p>
                    <w:p>
                      <w:pPr>
                        <w:pStyle w:val="97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hint="eastAsia" w:ascii="黑体" w:hAnsi="黑体" w:cs="黑体"/>
                        </w:rPr>
                        <w:t>Y 42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5534025</wp:posOffset>
                </wp:positionH>
                <wp:positionV relativeFrom="paragraph">
                  <wp:posOffset>8960485</wp:posOffset>
                </wp:positionV>
                <wp:extent cx="666750" cy="396240"/>
                <wp:effectExtent l="0" t="0" r="0" b="0"/>
                <wp:wrapNone/>
                <wp:docPr id="1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667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  <w:szCs w:val="28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435.75pt;margin-top:705.55pt;height:31.2pt;width:52.5pt;z-index:251667456;mso-width-relative:page;mso-height-relative:page;" filled="f" stroked="f" coordsize="21600,21600" o:gfxdata="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PpD02AAAAA0BAAAPAAAAAAAAAAEAIAAAACIAAABkcnMvZG93bnJl&#10;di54bWxQSwECFAAUAAAACACHTuJAq0v+GP0BAADmAwAADgAAAAAAAAABACAAAAAnAQAAZHJzL2Uy&#10;b0RvYy54bWxQSwUGAAAAAAYABgBZAQAAl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0" r="0" b="0"/>
                <wp:wrapNone/>
                <wp:docPr id="13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FFFF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0pt;margin-top:700pt;height:0pt;width:482pt;z-index:251665408;mso-width-relative:page;mso-height-relative:page;" filled="f" stroked="t" coordsize="21600,21600" o:allowincell="f" o:gfxdata="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2GrA71AAAAAoBAAAPAAAAAAAAAAEAIAAAACIAAABkcnMvZG93bnJldi54bWxQ&#10;SwECFAAUAAAACACHTuJA/NKpkcIBAAB9AwAADgAAAAAAAAABACAAAAAjAQAAZHJzL2Uyb0RvYy54&#10;bWxQSwUGAAAAAAYABgBZAQAAVwUAAAAA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0" r="0" b="0"/>
                <wp:wrapNone/>
                <wp:docPr id="12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FFFF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0pt;margin-top:179pt;height:0pt;width:482pt;z-index:251666432;mso-width-relative:page;mso-height-relative:page;" filled="f" stroked="t" coordsize="21600,21600" o:allowincell="f" o:gfxdata="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7Iu0BdYAAAAIAQAADwAAAAAAAAABACAAAAAiAAAAZHJzL2Rvd25yZXYueG1s&#10;UEsBAhQAFAAAAAgAh07iQFF4XOvBAQAAfQMAAA4AAAAAAAAAAQAgAAAAJQEAAGRycy9lMm9Eb2Mu&#10;eG1sUEsFBgAAAAAGAAYAWQEAAFgFAAAAAA=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318770</wp:posOffset>
                </wp:positionH>
                <wp:positionV relativeFrom="margin">
                  <wp:posOffset>8915400</wp:posOffset>
                </wp:positionV>
                <wp:extent cx="5148580" cy="837565"/>
                <wp:effectExtent l="0" t="0" r="0" b="0"/>
                <wp:wrapNone/>
                <wp:docPr id="1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14858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0"/>
                              <w:rPr>
                                <w:rFonts w:ascii="黑体" w:hAnsi="黑体" w:eastAsia="黑体" w:cs="黑体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/>
                                <w:spacing w:val="0"/>
                                <w:sz w:val="30"/>
                                <w:szCs w:val="30"/>
                              </w:rPr>
                              <w:t>中国香料香精化妆品工业协会</w:t>
                            </w:r>
                          </w:p>
                          <w:p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25.1pt;margin-top:702pt;height:65.95pt;width:405.4pt;mso-position-horizontal-relative:margin;mso-position-vertical-relative:margin;z-index:251664384;mso-width-relative:page;mso-height-relative:page;" fillcolor="#FFFFFF" filled="t" stroked="f" coordsize="21600,21600" o:gfxdata="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dxcRg2gAAAAwBAAAPAAAAAAAAAAEAIAAAACIAAABkcnMvZG93bnJldi54bWxQ&#10;SwECFAAUAAAACACHTuJAY9Pqs/UBAAD8AwAADgAAAAAAAAABACAAAAApAQAAZHJzL2Uyb0RvYy54&#10;bWxQSwUGAAAAAAYABgBZAQAAk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00"/>
                        <w:rPr>
                          <w:rFonts w:ascii="黑体" w:hAnsi="黑体" w:eastAsia="黑体" w:cs="黑体"/>
                          <w:b w:val="0"/>
                          <w:bCs/>
                          <w:spacing w:val="0"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b w:val="0"/>
                          <w:bCs/>
                          <w:spacing w:val="0"/>
                          <w:sz w:val="30"/>
                          <w:szCs w:val="30"/>
                        </w:rPr>
                        <w:t>中国香料香精化妆品工业协会</w:t>
                      </w:r>
                    </w:p>
                    <w:p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1" layoutInCell="0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8542020</wp:posOffset>
                </wp:positionV>
                <wp:extent cx="2019300" cy="347980"/>
                <wp:effectExtent l="0" t="0" r="0" b="0"/>
                <wp:wrapNone/>
                <wp:docPr id="10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1930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</w:pPr>
                            <w:r>
                              <w:rPr>
                                <w:rFonts w:hint="eastAsia" w:ascii="黑体" w:hAnsi="黑体" w:cs="黑体"/>
                              </w:rPr>
                              <w:t>202×-××-××实施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2.6pt;height:27.4pt;width:159pt;mso-position-horizontal-relative:margin;mso-position-vertical-relative:margin;z-index:251663360;mso-width-relative:page;mso-height-relative:page;" fillcolor="#FFFFFF" filled="t" stroked="f" coordsize="21600,21600" o:allowincell="f" o:gfxdata="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HsJDdoAAAANAQAADwAAAAAAAAABACAAAAAiAAAAZHJzL2Rvd25yZXYueG1s&#10;UEsBAhQAFAAAAAgAh07iQJLdUeL2AQAA/AMAAA4AAAAAAAAAAQAgAAAAKQEAAGRycy9lMm9Eb2Mu&#10;eG1sUEsFBgAAAAAGAAYAWQEAAJE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</w:pPr>
                      <w:r>
                        <w:rPr>
                          <w:rFonts w:hint="eastAsia" w:ascii="黑体" w:hAnsi="黑体" w:cs="黑体"/>
                        </w:rPr>
                        <w:t>202×-××-××实施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9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"/>
                              <w:jc w:val="left"/>
                              <w:rPr>
                                <w:rFonts w:ascii="黑体" w:hAnsi="黑体" w:cs="黑体"/>
                              </w:rPr>
                            </w:pPr>
                            <w:r>
                              <w:rPr>
                                <w:rFonts w:ascii="黑体" w:hAnsi="黑体" w:cs="黑体"/>
                              </w:rPr>
                              <w:t>202×-××-××发布</w:t>
                            </w:r>
                          </w:p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2336;mso-width-relative:page;mso-height-relative:page;" fillcolor="#FFFFFF" filled="t" stroked="f" coordsize="21600,21600" o:allowincell="f" o:gfxdata="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zbKiNgAAAAKAQAADwAAAAAAAAABACAAAAAiAAAAZHJzL2Rvd25yZXYueG1sUEsB&#10;AhQAFAAAAAgAh07iQCnuyaf1AQAA+w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2"/>
                        <w:jc w:val="left"/>
                        <w:rPr>
                          <w:rFonts w:ascii="黑体" w:hAnsi="黑体" w:cs="黑体"/>
                        </w:rPr>
                      </w:pPr>
                      <w:r>
                        <w:rPr>
                          <w:rFonts w:ascii="黑体" w:hAnsi="黑体" w:cs="黑体"/>
                        </w:rPr>
                        <w:t>202×-××-××发布</w:t>
                      </w:r>
                    </w:p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0" r="0" b="0"/>
                <wp:wrapNone/>
                <wp:docPr id="8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/>
                                <w:bCs/>
                                <w:sz w:val="5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bCs/>
                                <w:sz w:val="52"/>
                                <w:szCs w:val="28"/>
                              </w:rPr>
                              <w:t>化妆品用原料 奥克立林</w:t>
                            </w:r>
                          </w:p>
                          <w:p>
                            <w:pPr>
                              <w:pStyle w:val="19"/>
                              <w:jc w:val="center"/>
                              <w:rPr>
                                <w:rFonts w:ascii="黑体" w:hAnsi="黑体" w:eastAsia="黑体" w:cs="黑体"/>
                                <w:sz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</w:rPr>
                              <w:t xml:space="preserve">Cosmetic ingredients - </w:t>
                            </w:r>
                            <w:r>
                              <w:rPr>
                                <w:rFonts w:ascii="黑体" w:hAnsi="黑体" w:eastAsia="黑体" w:cs="黑体"/>
                                <w:sz w:val="28"/>
                              </w:rPr>
                              <w:t>Octocrylene</w:t>
                            </w:r>
                          </w:p>
                          <w:p>
                            <w:pPr>
                              <w:pStyle w:val="108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（征求意见稿）</w:t>
                            </w:r>
                          </w:p>
                          <w:p>
                            <w:pPr>
                              <w:pStyle w:val="1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在提交反馈意见时，请将您知道的相关专利连同支持性文件一并附上。</w:t>
                            </w:r>
                          </w:p>
                          <w:p>
                            <w:pPr>
                              <w:pStyle w:val="108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1312;mso-width-relative:page;mso-height-relative:page;" fillcolor="#FFFFFF" filled="t" stroked="f" coordsize="21600,21600" o:allowincell="f" o:gfxdata="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FefcdgAAAAJAQAADwAAAAAAAAABACAAAAAiAAAAZHJzL2Rvd25yZXYueG1s&#10;UEsBAhQAFAAAAAgAh07iQD+JMKX4AQAA/AMAAA4AAAAAAAAAAQAgAAAAJwEAAGRycy9lMm9Eb2Mu&#10;eG1sUEsFBgAAAAAGAAYAWQEAAJE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="黑体" w:eastAsia="黑体"/>
                          <w:bCs/>
                          <w:sz w:val="52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bCs/>
                          <w:sz w:val="52"/>
                          <w:szCs w:val="28"/>
                        </w:rPr>
                        <w:t>化妆品用原料 奥克立林</w:t>
                      </w:r>
                    </w:p>
                    <w:p>
                      <w:pPr>
                        <w:pStyle w:val="19"/>
                        <w:jc w:val="center"/>
                        <w:rPr>
                          <w:rFonts w:ascii="黑体" w:hAnsi="黑体" w:eastAsia="黑体" w:cs="黑体"/>
                          <w:sz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</w:rPr>
                        <w:t xml:space="preserve">Cosmetic ingredients - </w:t>
                      </w:r>
                      <w:r>
                        <w:rPr>
                          <w:rFonts w:ascii="黑体" w:hAnsi="黑体" w:eastAsia="黑体" w:cs="黑体"/>
                          <w:sz w:val="28"/>
                        </w:rPr>
                        <w:t>Octocrylene</w:t>
                      </w:r>
                    </w:p>
                    <w:p>
                      <w:pPr>
                        <w:pStyle w:val="108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（征求意见稿）</w:t>
                      </w:r>
                    </w:p>
                    <w:p>
                      <w:pPr>
                        <w:pStyle w:val="1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在提交反馈意见时，请将您知道的相关专利连同支持性文件一并附上。</w:t>
                      </w:r>
                    </w:p>
                    <w:p>
                      <w:pPr>
                        <w:pStyle w:val="108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1" layoutInCell="0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1684020</wp:posOffset>
                </wp:positionV>
                <wp:extent cx="5802630" cy="577850"/>
                <wp:effectExtent l="0" t="0" r="0" b="0"/>
                <wp:wrapNone/>
                <wp:docPr id="7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802630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3"/>
                              <w:rPr>
                                <w:rFonts w:ascii="黑体" w:hAnsi="黑体" w:eastAsia="黑体" w:cs="黑体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</w:rPr>
                              <w:t>T/CAFFCI  XXXX—202X</w:t>
                            </w:r>
                          </w:p>
                          <w:p>
                            <w:pPr>
                              <w:pStyle w:val="93"/>
                              <w:rPr>
                                <w:rFonts w:ascii="黑体" w:eastAsia="黑体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pt;margin-top:132.6pt;height:45.5pt;width:456.9pt;mso-position-horizontal-relative:margin;mso-position-vertical-relative:margin;z-index:251660288;mso-width-relative:page;mso-height-relative:page;" fillcolor="#FFFFFF" filled="t" stroked="f" coordsize="21600,21600" o:allowincell="f" o:gfxdata="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aGoi2AAAAAgBAAAPAAAAAAAAAAEAIAAAACIAAABkcnMvZG93bnJldi54bWxQ&#10;SwECFAAUAAAACACHTuJAY9CS5PcBAAD7AwAADgAAAAAAAAABACAAAAAnAQAAZHJzL2Uyb0RvYy54&#10;bWxQSwUGAAAAAAYABgBZAQAAkA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3"/>
                        <w:rPr>
                          <w:rFonts w:ascii="黑体" w:hAnsi="黑体" w:eastAsia="黑体" w:cs="黑体"/>
                        </w:rPr>
                      </w:pPr>
                      <w:r>
                        <w:rPr>
                          <w:rFonts w:hint="eastAsia" w:ascii="黑体" w:hAnsi="黑体" w:eastAsia="黑体" w:cs="黑体"/>
                        </w:rPr>
                        <w:t>T/CAFFCI  XXXX—202X</w:t>
                      </w:r>
                    </w:p>
                    <w:p>
                      <w:pPr>
                        <w:pStyle w:val="93"/>
                        <w:rPr>
                          <w:rFonts w:ascii="黑体" w:eastAsia="黑体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-66675</wp:posOffset>
                </wp:positionH>
                <wp:positionV relativeFrom="margin">
                  <wp:posOffset>1010920</wp:posOffset>
                </wp:positionV>
                <wp:extent cx="6120130" cy="772160"/>
                <wp:effectExtent l="0" t="0" r="0" b="0"/>
                <wp:wrapNone/>
                <wp:docPr id="6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013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8"/>
                              <w:rPr>
                                <w:bCs/>
                                <w:sz w:val="56"/>
                                <w:szCs w:val="72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56"/>
                                <w:szCs w:val="72"/>
                              </w:rPr>
                              <w:t>团体标准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-5.25pt;margin-top:79.6pt;height:60.8pt;width:481.9pt;mso-position-horizontal-relative:margin;mso-position-vertical-relative:margin;z-index:251659264;mso-width-relative:page;mso-height-relative:page;" fillcolor="#FFFFFF" filled="t" stroked="f" coordsize="21600,21600" o:gfxdata="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RBJL/aAAAACwEAAA8AAAAAAAAAAQAgAAAAIgAAAGRycy9kb3ducmV2LnhtbFBL&#10;AQIUABQAAAAIAIdO4kDct2Mm9AEAAPsDAAAOAAAAAAAAAAEAIAAAACkBAABkcnMvZTJvRG9jLnht&#10;bFBLBQYAAAAABgAGAFkBAACP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88"/>
                        <w:rPr>
                          <w:bCs/>
                          <w:sz w:val="56"/>
                          <w:szCs w:val="72"/>
                        </w:rPr>
                      </w:pPr>
                      <w:r>
                        <w:rPr>
                          <w:rFonts w:hint="eastAsia"/>
                          <w:bCs/>
                          <w:sz w:val="56"/>
                          <w:szCs w:val="72"/>
                        </w:rPr>
                        <w:t>团体标准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>
      <w:pPr>
        <w:pStyle w:val="78"/>
      </w:pPr>
      <w:r>
        <w:rPr>
          <w:rFonts w:hint="eastAsia"/>
        </w:rPr>
        <w:t>前    言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</w:t>
      </w:r>
      <w:bookmarkStart w:id="1" w:name="_Hlk78642432"/>
      <w:r>
        <w:rPr>
          <w:rFonts w:hint="eastAsia" w:hAnsi="宋体"/>
        </w:rPr>
        <w:t>文件</w:t>
      </w:r>
      <w:bookmarkEnd w:id="1"/>
      <w:r>
        <w:rPr>
          <w:rFonts w:hint="eastAsia" w:hAnsi="宋体"/>
        </w:rPr>
        <w:t>按照 GB/T 1.1-20</w:t>
      </w:r>
      <w:r>
        <w:rPr>
          <w:rFonts w:hAnsi="宋体"/>
        </w:rPr>
        <w:t>20</w:t>
      </w:r>
      <w:r>
        <w:rPr>
          <w:rFonts w:hint="eastAsia" w:hAnsi="宋体"/>
        </w:rPr>
        <w:t>《标准化工作导则 第一部分：标准化文件的结构和起草规则》的规则起草。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本文件由中国香料香精化妆品工业协会提出并归口。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本文件起草单位：黄冈美丰化工科技有限公司、湖北美凯化工有限责任公司、黄石市食品药品检验检测中心、湖北师范大学、湖北理工学院。</w:t>
      </w:r>
    </w:p>
    <w:p>
      <w:pPr>
        <w:pStyle w:val="57"/>
        <w:ind w:firstLine="420"/>
        <w:rPr>
          <w:rFonts w:hint="eastAsia" w:hAnsi="宋体"/>
        </w:rPr>
      </w:pPr>
      <w:r>
        <w:rPr>
          <w:rFonts w:hint="eastAsia" w:hAnsi="宋体"/>
        </w:rPr>
        <w:t>本文件主要起草人：刘建军、徐文立、高胜明、曾诚</w:t>
      </w:r>
      <w:r>
        <w:rPr>
          <w:rFonts w:hAnsi="宋体"/>
        </w:rPr>
        <w:t>、</w:t>
      </w:r>
      <w:r>
        <w:rPr>
          <w:rFonts w:hint="eastAsia" w:hAnsi="宋体"/>
        </w:rPr>
        <w:t>刘豪、刘家富、</w:t>
      </w:r>
      <w:r>
        <w:rPr>
          <w:rFonts w:hAnsi="宋体"/>
        </w:rPr>
        <w:t>程文春</w:t>
      </w:r>
      <w:r>
        <w:rPr>
          <w:rFonts w:hint="eastAsia" w:hAnsi="宋体"/>
        </w:rPr>
        <w:t>、</w:t>
      </w:r>
      <w:r>
        <w:rPr>
          <w:rFonts w:hAnsi="宋体"/>
        </w:rPr>
        <w:t>张贤达</w:t>
      </w:r>
      <w:r>
        <w:rPr>
          <w:rFonts w:hint="eastAsia" w:hAnsi="宋体"/>
        </w:rPr>
        <w:t>、</w:t>
      </w:r>
      <w:r>
        <w:rPr>
          <w:rFonts w:hAnsi="宋体"/>
        </w:rPr>
        <w:t>张晶</w:t>
      </w:r>
      <w:r>
        <w:rPr>
          <w:rFonts w:hint="eastAsia" w:hAnsi="宋体"/>
        </w:rPr>
        <w:t>、余新启、汪敦佳、殷国栋、王志刚、陈春宏、翁小林。</w:t>
      </w:r>
    </w:p>
    <w:p>
      <w:pPr>
        <w:pStyle w:val="57"/>
        <w:ind w:firstLine="420"/>
        <w:rPr>
          <w:rFonts w:hAnsi="宋体"/>
        </w:rPr>
        <w:sectPr>
          <w:headerReference r:id="rId8" w:type="default"/>
          <w:footerReference r:id="rId9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  <w:r>
        <w:rPr>
          <w:rFonts w:hint="eastAsia" w:hAnsi="宋体"/>
        </w:rPr>
        <w:t>请注意本文件的某些内容可能涉及专利。本文件的发布机构不承担识别专利的责任。</w:t>
      </w:r>
    </w:p>
    <w:p>
      <w:pPr>
        <w:pStyle w:val="57"/>
        <w:ind w:firstLine="420"/>
        <w:rPr>
          <w:rFonts w:hint="eastAsia" w:hAnsi="宋体"/>
        </w:rPr>
        <w:sectPr>
          <w:headerReference r:id="rId10" w:type="default"/>
          <w:footerReference r:id="rId11" w:type="default"/>
          <w:pgSz w:w="11907" w:h="16839"/>
          <w:pgMar w:top="1418" w:right="1134" w:bottom="1134" w:left="1418" w:header="1418" w:footer="851" w:gutter="0"/>
          <w:pgNumType w:fmt="upperRoman" w:start="1"/>
          <w:cols w:space="720" w:num="1"/>
          <w:docGrid w:type="lines" w:linePitch="312" w:charSpace="0"/>
        </w:sectPr>
      </w:pPr>
      <w:bookmarkStart w:id="15" w:name="_GoBack"/>
      <w:bookmarkEnd w:id="15"/>
    </w:p>
    <w:bookmarkEnd w:id="0"/>
    <w:p>
      <w:pPr>
        <w:pStyle w:val="77"/>
      </w:pPr>
      <w:bookmarkStart w:id="2" w:name="SectionMark4"/>
      <w:r>
        <w:rPr>
          <w:rFonts w:hint="eastAsia"/>
        </w:rPr>
        <w:t>化妆品用原料 奥克立林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范围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本文件规定了化妆品用原料奥克立林的基本信息、技术要求、试验方法、净含量、检验规则及标志、包装、运输、贮存和保质期的要求。</w:t>
      </w:r>
    </w:p>
    <w:p>
      <w:pPr>
        <w:pStyle w:val="57"/>
        <w:ind w:firstLine="420"/>
        <w:rPr>
          <w:rFonts w:hAnsi="宋体"/>
        </w:rPr>
      </w:pPr>
      <w:r>
        <w:rPr>
          <w:rFonts w:hint="eastAsia" w:hAnsi="宋体"/>
        </w:rPr>
        <w:t>本文件适用于采用化学合成法制备而成的，在化妆品中作为防晒剂的奥克立林。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规范性引用文件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bookmarkEnd w:id="2"/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191  包装储运图示标志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6</w:t>
      </w:r>
      <w:r>
        <w:rPr>
          <w:rFonts w:ascii="宋体" w:hAnsi="宋体" w:cs="宋体"/>
          <w:szCs w:val="21"/>
          <w:lang w:val="zh-CN"/>
        </w:rPr>
        <w:t xml:space="preserve">01  </w:t>
      </w:r>
      <w:r>
        <w:rPr>
          <w:rFonts w:hint="eastAsia" w:hAnsi="宋体" w:cs="宋体"/>
          <w:szCs w:val="21"/>
        </w:rPr>
        <w:t>化学试剂 标准滴定溶液的制备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6678 化工产品采样总则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6679 固体化工产品采样通则</w:t>
      </w:r>
    </w:p>
    <w:p>
      <w:pPr>
        <w:autoSpaceDE w:val="0"/>
        <w:autoSpaceDN w:val="0"/>
        <w:adjustRightInd w:val="0"/>
        <w:ind w:firstLine="420"/>
        <w:rPr>
          <w:rFonts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GB/T 6682 分析实验室用水规格和试验方法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>QB/T 1684 化妆品检验规则</w:t>
      </w:r>
    </w:p>
    <w:p>
      <w:pPr>
        <w:pStyle w:val="57"/>
        <w:ind w:firstLine="420"/>
        <w:rPr>
          <w:rFonts w:hAnsi="宋体" w:cs="宋体"/>
        </w:rPr>
      </w:pPr>
      <w:r>
        <w:rPr>
          <w:rFonts w:hint="eastAsia" w:hAnsi="宋体" w:cs="宋体"/>
        </w:rPr>
        <w:t xml:space="preserve">JJF 1070 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定量包装产品净含量计算检验规则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《化妆品安全技术规范》（2015年版）（国家食品药品监督管理总局公告 2015 年第 268 号）</w:t>
      </w:r>
    </w:p>
    <w:p>
      <w:pPr>
        <w:pStyle w:val="57"/>
        <w:ind w:firstLine="315" w:firstLineChars="15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《中华人民共和国药典》（2020年版）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术语和定义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本文件没有需要界定的术语和定义。</w:t>
      </w:r>
    </w:p>
    <w:p>
      <w:pPr>
        <w:pStyle w:val="90"/>
        <w:spacing w:before="312" w:beforeLines="100" w:after="312" w:afterLines="100"/>
      </w:pPr>
      <w:r>
        <w:rPr>
          <w:rFonts w:hint="eastAsia"/>
        </w:rPr>
        <w:t>基本信息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中文名称：奥克立林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INCI名称：</w:t>
      </w:r>
      <w:r>
        <w:rPr>
          <w:rFonts w:hAnsi="宋体" w:cs="宋体"/>
          <w:szCs w:val="21"/>
        </w:rPr>
        <w:t>Octocrylene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分子式：</w:t>
      </w:r>
      <w:r>
        <w:rPr>
          <w:rFonts w:hint="eastAsia" w:hAnsi="宋体" w:cs="宋体"/>
          <w:sz w:val="21"/>
          <w:szCs w:val="21"/>
        </w:rPr>
        <w:t>C</w:t>
      </w:r>
      <w:r>
        <w:rPr>
          <w:rFonts w:hint="eastAsia" w:hAnsi="宋体" w:cs="宋体"/>
          <w:sz w:val="21"/>
          <w:szCs w:val="21"/>
          <w:vertAlign w:val="subscript"/>
        </w:rPr>
        <w:t>24</w:t>
      </w:r>
      <w:r>
        <w:rPr>
          <w:rFonts w:hint="eastAsia" w:hAnsi="宋体" w:cs="宋体"/>
          <w:sz w:val="21"/>
          <w:szCs w:val="21"/>
        </w:rPr>
        <w:t>H</w:t>
      </w:r>
      <w:r>
        <w:rPr>
          <w:rFonts w:hint="eastAsia" w:hAnsi="宋体" w:cs="宋体"/>
          <w:sz w:val="21"/>
          <w:szCs w:val="21"/>
          <w:vertAlign w:val="subscript"/>
        </w:rPr>
        <w:t>27</w:t>
      </w:r>
      <w:r>
        <w:rPr>
          <w:rFonts w:hint="eastAsia" w:hAnsi="宋体" w:cs="宋体"/>
          <w:sz w:val="21"/>
          <w:szCs w:val="21"/>
        </w:rPr>
        <w:t>NO</w:t>
      </w:r>
      <w:r>
        <w:rPr>
          <w:rFonts w:hint="eastAsia" w:hAnsi="宋体" w:cs="宋体"/>
          <w:sz w:val="21"/>
          <w:szCs w:val="21"/>
          <w:vertAlign w:val="subscript"/>
        </w:rPr>
        <w:t>2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分子量：</w:t>
      </w:r>
      <w:r>
        <w:rPr>
          <w:rFonts w:hAnsi="宋体" w:cs="宋体"/>
          <w:szCs w:val="21"/>
        </w:rPr>
        <w:t>361.48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CAS号：</w:t>
      </w:r>
      <w:r>
        <w:rPr>
          <w:rFonts w:hAnsi="宋体" w:cs="宋体"/>
          <w:szCs w:val="21"/>
        </w:rPr>
        <w:t>6197-30-4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化学结构式：</w:t>
      </w:r>
      <w:r>
        <w:rPr>
          <w:rFonts w:hAnsi="宋体" w:cs="宋体"/>
          <w:szCs w:val="21"/>
        </w:rPr>
        <w:t xml:space="preserve"> </w:t>
      </w:r>
    </w:p>
    <w:p>
      <w:pPr>
        <w:pStyle w:val="57"/>
        <w:ind w:firstLine="420"/>
        <w:jc w:val="center"/>
        <w:rPr>
          <w:rFonts w:ascii="Times New Roman"/>
          <w:sz w:val="22"/>
          <w:szCs w:val="22"/>
        </w:rPr>
      </w:pPr>
      <w:r>
        <w:rPr>
          <w:rFonts w:ascii="Times New Roman" w:eastAsiaTheme="minorEastAsia"/>
        </w:rPr>
        <w:object>
          <v:shape id="_x0000_i1025" o:spt="75" type="#_x0000_t75" style="height:61.4pt;width:128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Unknown" ShapeID="_x0000_i1025" DrawAspect="Content" ObjectID="_1468075725" r:id="rId14">
            <o:LockedField>false</o:LockedField>
          </o:OLEObject>
        </w:object>
      </w:r>
    </w:p>
    <w:p>
      <w:pPr>
        <w:pStyle w:val="57"/>
        <w:ind w:firstLine="440"/>
        <w:rPr>
          <w:rFonts w:ascii="Times New Roman"/>
          <w:sz w:val="22"/>
          <w:szCs w:val="22"/>
        </w:rPr>
      </w:pPr>
    </w:p>
    <w:p>
      <w:pPr>
        <w:pStyle w:val="57"/>
        <w:ind w:firstLine="440"/>
        <w:rPr>
          <w:rFonts w:ascii="Times New Roman"/>
          <w:sz w:val="22"/>
          <w:szCs w:val="22"/>
        </w:rPr>
      </w:pPr>
    </w:p>
    <w:p>
      <w:pPr>
        <w:pStyle w:val="57"/>
        <w:ind w:firstLine="440"/>
        <w:rPr>
          <w:rFonts w:ascii="Times New Roman"/>
          <w:sz w:val="22"/>
          <w:szCs w:val="22"/>
        </w:rPr>
      </w:pPr>
    </w:p>
    <w:p>
      <w:pPr>
        <w:pStyle w:val="90"/>
        <w:spacing w:before="312" w:beforeLines="100" w:after="312" w:afterLines="100"/>
      </w:pPr>
      <w:r>
        <w:rPr>
          <w:rFonts w:hint="eastAsia"/>
        </w:rPr>
        <w:t>技术要求</w:t>
      </w:r>
    </w:p>
    <w:p>
      <w:pPr>
        <w:pStyle w:val="57"/>
        <w:ind w:firstLine="420"/>
      </w:pPr>
      <w:r>
        <w:rPr>
          <w:rFonts w:hint="eastAsia" w:hAnsi="宋体"/>
        </w:rPr>
        <w:t>感官、理化指标详见表1。</w:t>
      </w:r>
    </w:p>
    <w:p>
      <w:pPr>
        <w:pStyle w:val="76"/>
        <w:spacing w:before="156" w:beforeLines="50" w:after="156" w:afterLines="50"/>
      </w:pPr>
      <w:r>
        <w:rPr>
          <w:rFonts w:hint="eastAsia" w:hAnsi="宋体"/>
        </w:rPr>
        <w:t>表1</w:t>
      </w:r>
      <w:r>
        <w:rPr>
          <w:rFonts w:hint="eastAsia"/>
        </w:rPr>
        <w:t>感官、理化指标</w:t>
      </w:r>
    </w:p>
    <w:tbl>
      <w:tblPr>
        <w:tblStyle w:val="3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410"/>
        <w:gridCol w:w="452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965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要求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性状</w:t>
            </w:r>
          </w:p>
        </w:tc>
        <w:tc>
          <w:tcPr>
            <w:tcW w:w="4529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本品为透明黄色粘性液体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鉴别</w:t>
            </w:r>
          </w:p>
        </w:tc>
        <w:tc>
          <w:tcPr>
            <w:tcW w:w="4529" w:type="dxa"/>
            <w:vAlign w:val="center"/>
          </w:tcPr>
          <w:p>
            <w:pPr>
              <w:ind w:firstLine="0" w:firstLineChars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紫外-可见分光光度法鉴别：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303 nm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波长处，样品溶液吸光系数与标准品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溶液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吸光系数相差不超过3.0%</w:t>
            </w:r>
          </w:p>
          <w:p>
            <w:pPr>
              <w:ind w:firstLine="0" w:firstLineChars="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气相色谱法鉴别：样品溶液主峰保留时间与标准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溶液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主峰保留时间一致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ind w:right="71" w:rightChars="34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相对密度（25℃）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1.045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hint="eastAsia" w:ascii="宋体" w:hAnsi="宋体" w:cs="宋体"/>
                <w:sz w:val="18"/>
                <w:szCs w:val="18"/>
              </w:rPr>
              <w:t>1.055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折光率（20℃）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1．561～1.571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酸度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/(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0.1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mol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l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)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N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aOH/g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 xml:space="preserve">≤0.18 </w:t>
            </w:r>
            <w:r>
              <w:rPr>
                <w:rFonts w:ascii="宋体" w:hAnsi="宋体" w:cs="宋体"/>
                <w:bCs/>
                <w:sz w:val="18"/>
                <w:szCs w:val="18"/>
              </w:rPr>
              <w:t>mL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含量/%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95.0～105.0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杂质/%</w:t>
            </w:r>
          </w:p>
        </w:tc>
        <w:tc>
          <w:tcPr>
            <w:tcW w:w="452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单个最大杂质≤0.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4529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总杂质≤2.0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二苯甲酮/ppm</w:t>
            </w:r>
          </w:p>
        </w:tc>
        <w:tc>
          <w:tcPr>
            <w:tcW w:w="4529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≤200</w:t>
            </w:r>
          </w:p>
        </w:tc>
      </w:tr>
    </w:tbl>
    <w:p>
      <w:pPr>
        <w:pStyle w:val="90"/>
        <w:spacing w:before="312" w:beforeLines="100" w:after="312" w:afterLines="100"/>
      </w:pPr>
      <w:r>
        <w:rPr>
          <w:rFonts w:hint="eastAsia"/>
        </w:rPr>
        <w:t>试验方法</w:t>
      </w:r>
    </w:p>
    <w:p>
      <w:pPr>
        <w:pStyle w:val="57"/>
        <w:ind w:firstLine="42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szCs w:val="21"/>
          <w:lang w:val="zh-CN"/>
        </w:rPr>
        <w:t>本标准中</w:t>
      </w:r>
      <w:r>
        <w:rPr>
          <w:rFonts w:hint="eastAsia" w:hAnsi="宋体" w:cs="宋体"/>
          <w:szCs w:val="21"/>
        </w:rPr>
        <w:t>除另外说明外，所有试剂均为分析纯，</w:t>
      </w:r>
      <w:r>
        <w:rPr>
          <w:rFonts w:hint="eastAsia" w:hAnsi="宋体" w:cs="宋体"/>
          <w:szCs w:val="21"/>
          <w:lang w:val="zh-CN"/>
        </w:rPr>
        <w:t>所用</w:t>
      </w:r>
      <w:r>
        <w:rPr>
          <w:rFonts w:hint="eastAsia" w:hAnsi="宋体" w:cs="宋体"/>
          <w:szCs w:val="21"/>
        </w:rPr>
        <w:t>水符合</w:t>
      </w:r>
      <w:r>
        <w:rPr>
          <w:rFonts w:hint="eastAsia" w:hAnsi="宋体" w:cs="宋体"/>
          <w:szCs w:val="21"/>
          <w:lang w:val="zh-CN"/>
        </w:rPr>
        <w:t>GB/T 6682和</w:t>
      </w:r>
      <w:r>
        <w:rPr>
          <w:rFonts w:hint="eastAsia" w:hAnsi="宋体" w:cs="宋体"/>
          <w:szCs w:val="21"/>
        </w:rPr>
        <w:t>《中华人民共和国药典》2020年版规定的纯化水。</w:t>
      </w:r>
    </w:p>
    <w:p>
      <w:pPr>
        <w:pStyle w:val="56"/>
        <w:spacing w:before="156" w:beforeLines="50" w:after="156" w:afterLines="50"/>
        <w:rPr>
          <w:rFonts w:ascii="宋体" w:hAnsi="宋体"/>
        </w:rPr>
      </w:pPr>
      <w:r>
        <w:rPr>
          <w:rFonts w:hint="eastAsia" w:ascii="宋体" w:hAnsi="宋体"/>
        </w:rPr>
        <w:t>采样</w:t>
      </w:r>
    </w:p>
    <w:p>
      <w:pPr>
        <w:pStyle w:val="57"/>
        <w:ind w:firstLine="420"/>
        <w:rPr>
          <w:rFonts w:ascii="Times New Roman"/>
          <w:szCs w:val="21"/>
        </w:rPr>
      </w:pPr>
      <w:r>
        <w:rPr>
          <w:rFonts w:hint="eastAsia" w:hAnsi="宋体" w:cs="宋体"/>
          <w:szCs w:val="21"/>
        </w:rPr>
        <w:t>采样按GB/T</w:t>
      </w:r>
      <w:r>
        <w:rPr>
          <w:rFonts w:hint="eastAsia" w:hAnsi="宋体" w:cs="宋体"/>
          <w:szCs w:val="21"/>
          <w:lang w:val="en-US" w:eastAsia="zh-CN"/>
        </w:rPr>
        <w:t xml:space="preserve"> </w:t>
      </w:r>
      <w:r>
        <w:rPr>
          <w:rFonts w:hint="eastAsia" w:hAnsi="宋体" w:cs="宋体"/>
          <w:szCs w:val="21"/>
        </w:rPr>
        <w:t>6678和</w:t>
      </w:r>
      <w:r>
        <w:rPr>
          <w:rFonts w:hint="eastAsia" w:hAnsi="宋体" w:cs="宋体"/>
          <w:szCs w:val="21"/>
          <w:lang w:val="zh-CN" w:bidi="en-US"/>
        </w:rPr>
        <w:t>GB/T</w:t>
      </w:r>
      <w:r>
        <w:rPr>
          <w:rFonts w:hint="eastAsia" w:hAnsi="宋体" w:cs="宋体"/>
          <w:szCs w:val="21"/>
          <w:lang w:val="en-US" w:eastAsia="zh-CN" w:bidi="en-US"/>
        </w:rPr>
        <w:t xml:space="preserve"> </w:t>
      </w:r>
      <w:r>
        <w:rPr>
          <w:rFonts w:hint="eastAsia" w:hAnsi="宋体" w:cs="宋体"/>
          <w:szCs w:val="21"/>
          <w:lang w:val="zh-CN" w:bidi="en-US"/>
        </w:rPr>
        <w:t>6679</w:t>
      </w:r>
      <w:r>
        <w:rPr>
          <w:rFonts w:hint="eastAsia" w:hAnsi="宋体" w:cs="宋体"/>
          <w:szCs w:val="21"/>
        </w:rPr>
        <w:t>执行。</w:t>
      </w:r>
    </w:p>
    <w:p>
      <w:pPr>
        <w:pStyle w:val="56"/>
        <w:spacing w:before="156" w:beforeLines="50" w:after="156" w:afterLines="50"/>
      </w:pPr>
      <w:r>
        <w:rPr>
          <w:rFonts w:hint="eastAsia" w:ascii="宋体" w:hAnsi="宋体"/>
        </w:rPr>
        <w:t>感官指标判定</w:t>
      </w:r>
    </w:p>
    <w:p>
      <w:pPr>
        <w:pStyle w:val="56"/>
        <w:numPr>
          <w:ilvl w:val="255"/>
          <w:numId w:val="0"/>
        </w:numPr>
        <w:spacing w:before="156" w:beforeLines="50" w:after="156" w:afterLines="50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性状：取试样在室温和非阳光直射下目测观察。</w:t>
      </w:r>
    </w:p>
    <w:p>
      <w:pPr>
        <w:pStyle w:val="56"/>
        <w:spacing w:before="156" w:beforeLines="50" w:after="156" w:afterLines="50"/>
      </w:pPr>
      <w:r>
        <w:rPr>
          <w:rFonts w:hint="eastAsia"/>
        </w:rPr>
        <w:t>理化指标判定</w:t>
      </w:r>
    </w:p>
    <w:p>
      <w:pPr>
        <w:pStyle w:val="61"/>
        <w:spacing w:before="156" w:beforeLines="50" w:after="156" w:afterLines="5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鉴别测试</w:t>
      </w:r>
    </w:p>
    <w:p>
      <w:pPr>
        <w:pStyle w:val="64"/>
        <w:spacing w:before="156" w:beforeLines="50" w:after="156" w:afterLines="5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紫外-可见分光光度计鉴别</w:t>
      </w:r>
    </w:p>
    <w:p>
      <w:pPr>
        <w:pStyle w:val="63"/>
        <w:spacing w:after="156" w:afterLines="50"/>
      </w:pPr>
      <w:bookmarkStart w:id="3" w:name="_Hlk110271232"/>
      <w:bookmarkStart w:id="4" w:name="_Hlk110391209"/>
      <w:r>
        <w:rPr>
          <w:rFonts w:hint="eastAsia"/>
        </w:rPr>
        <w:t>仪器和材料</w:t>
      </w:r>
    </w:p>
    <w:bookmarkEnd w:id="3"/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紫外</w:t>
      </w:r>
      <w:r>
        <w:t>-</w:t>
      </w:r>
      <w:r>
        <w:rPr>
          <w:rFonts w:hint="eastAsia"/>
        </w:rPr>
        <w:t>可见光分光光度计：按照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通则0401</w:t>
      </w:r>
      <w:r>
        <w:rPr>
          <w:rFonts w:hint="eastAsia"/>
        </w:rPr>
        <w:t xml:space="preserve"> 紫外-可见分光光度法校正和检定仪器；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分析天平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感量</w:t>
      </w:r>
      <w:r>
        <w:rPr>
          <w:rFonts w:hint="eastAsia"/>
        </w:rPr>
        <w:t>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1</w:t>
      </w:r>
      <w:r>
        <w:t xml:space="preserve">00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单标线移液管；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光程1</w:t>
      </w:r>
      <w:r>
        <w:t xml:space="preserve">0 </w:t>
      </w:r>
      <w:r>
        <w:rPr>
          <w:rFonts w:hint="eastAsia"/>
        </w:rPr>
        <w:t>mm比色皿；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甲醇；</w:t>
      </w:r>
    </w:p>
    <w:p>
      <w:pPr>
        <w:pStyle w:val="57"/>
        <w:numPr>
          <w:ilvl w:val="0"/>
          <w:numId w:val="13"/>
        </w:numPr>
        <w:ind w:firstLineChars="0"/>
      </w:pPr>
      <w:r>
        <w:rPr>
          <w:rFonts w:hint="eastAsia"/>
        </w:rPr>
        <w:t>奥克立林标准品。</w:t>
      </w:r>
    </w:p>
    <w:p>
      <w:pPr>
        <w:pStyle w:val="63"/>
        <w:spacing w:before="156" w:beforeLines="50" w:after="156" w:afterLines="50"/>
      </w:pPr>
      <w:bookmarkStart w:id="5" w:name="_Hlk110271442"/>
      <w:r>
        <w:rPr>
          <w:rFonts w:hint="eastAsia"/>
        </w:rPr>
        <w:t>溶液配制</w:t>
      </w:r>
    </w:p>
    <w:bookmarkEnd w:id="5"/>
    <w:p>
      <w:pPr>
        <w:pStyle w:val="57"/>
        <w:numPr>
          <w:ilvl w:val="0"/>
          <w:numId w:val="14"/>
        </w:numPr>
        <w:ind w:firstLineChars="0"/>
      </w:pPr>
      <w:r>
        <w:rPr>
          <w:rFonts w:hint="eastAsia"/>
        </w:rPr>
        <w:t>标准溶液配制：</w:t>
      </w:r>
      <w:bookmarkStart w:id="6" w:name="_Hlk110271364"/>
      <w:r>
        <w:rPr>
          <w:rFonts w:hint="eastAsia"/>
        </w:rPr>
        <w:t>准确称取</w:t>
      </w:r>
      <w:r>
        <w:t>0.125 g</w:t>
      </w:r>
      <w:r>
        <w:rPr>
          <w:rFonts w:hint="eastAsia"/>
        </w:rPr>
        <w:t>奥克立林标准品于</w:t>
      </w:r>
      <w:r>
        <w:t>100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容量瓶中，加甲醇稀释到刻度，混匀，用</w:t>
      </w:r>
      <w:r>
        <w:t>2 m</w:t>
      </w:r>
      <w:r>
        <w:rPr>
          <w:rFonts w:hint="eastAsia"/>
          <w:lang w:val="en-US" w:eastAsia="zh-CN"/>
        </w:rPr>
        <w:t>l单标线</w:t>
      </w:r>
      <w:r>
        <w:rPr>
          <w:rFonts w:hint="eastAsia"/>
        </w:rPr>
        <w:t>移液管移取此溶液至</w:t>
      </w:r>
      <w:r>
        <w:t>100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容量瓶中，用甲醇稀释到刻度，摇匀；</w:t>
      </w:r>
      <w:bookmarkEnd w:id="6"/>
    </w:p>
    <w:p>
      <w:pPr>
        <w:pStyle w:val="57"/>
        <w:numPr>
          <w:ilvl w:val="0"/>
          <w:numId w:val="14"/>
        </w:numPr>
        <w:ind w:hanging="420" w:firstLineChars="0"/>
      </w:pPr>
      <w:r>
        <w:rPr>
          <w:rFonts w:hint="eastAsia"/>
        </w:rPr>
        <w:t>样品溶液配制：准确称取</w:t>
      </w:r>
      <w:r>
        <w:t>0.125 g</w:t>
      </w:r>
      <w:r>
        <w:rPr>
          <w:rFonts w:hint="eastAsia"/>
        </w:rPr>
        <w:t>样品于</w:t>
      </w:r>
      <w:r>
        <w:t>100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容量瓶中，加甲醇稀释到刻度，混匀，用</w:t>
      </w:r>
      <w:r>
        <w:t>2 m</w:t>
      </w:r>
      <w:r>
        <w:rPr>
          <w:rFonts w:hint="eastAsia"/>
          <w:lang w:val="en-US" w:eastAsia="zh-CN"/>
        </w:rPr>
        <w:t>l单标线</w:t>
      </w:r>
      <w:r>
        <w:rPr>
          <w:rFonts w:hint="eastAsia"/>
        </w:rPr>
        <w:t>移液管移取此溶液至</w:t>
      </w:r>
      <w:r>
        <w:t>100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容量瓶中，用甲醇稀释到刻度，摇匀。</w:t>
      </w:r>
    </w:p>
    <w:p>
      <w:pPr>
        <w:pStyle w:val="63"/>
        <w:spacing w:before="156" w:beforeLines="50" w:after="156" w:afterLines="50"/>
      </w:pPr>
      <w:r>
        <w:rPr>
          <w:rFonts w:hint="eastAsia"/>
        </w:rPr>
        <w:t>操作过程</w:t>
      </w:r>
    </w:p>
    <w:p>
      <w:pPr>
        <w:pStyle w:val="57"/>
        <w:ind w:firstLine="420"/>
      </w:pPr>
      <w:r>
        <w:rPr>
          <w:rFonts w:hint="eastAsia"/>
        </w:rPr>
        <w:t>将样品溶液（25 ug/</w:t>
      </w:r>
      <w: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甲醇溶液）与标准溶液（25 ug/</w:t>
      </w:r>
      <w: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甲醇溶液）</w:t>
      </w:r>
      <w:r>
        <w:rPr>
          <w:rFonts w:hint="eastAsia"/>
          <w:lang w:val="en-US" w:eastAsia="zh-CN"/>
        </w:rPr>
        <w:t>置于光程</w:t>
      </w:r>
      <w:r>
        <w:rPr>
          <w:rFonts w:hint="eastAsia"/>
        </w:rPr>
        <w:t>1</w:t>
      </w:r>
      <w:r>
        <w:t>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mm比色皿中，在303 nm波长处检测吸光度分别为A</w:t>
      </w:r>
      <w:r>
        <w:rPr>
          <w:rFonts w:hint="eastAsia"/>
          <w:vertAlign w:val="subscript"/>
        </w:rPr>
        <w:t>样</w:t>
      </w:r>
      <w:r>
        <w:rPr>
          <w:rFonts w:hint="eastAsia"/>
        </w:rPr>
        <w:t>和A</w:t>
      </w:r>
      <w:r>
        <w:rPr>
          <w:rFonts w:hint="eastAsia"/>
          <w:vertAlign w:val="subscript"/>
        </w:rPr>
        <w:t>标</w:t>
      </w:r>
      <w:r>
        <w:rPr>
          <w:rFonts w:hint="eastAsia"/>
        </w:rPr>
        <w:t>，计算其吸光系数相差不差过3.0%，按公式（1）（2）（3）计算结果：</w:t>
      </w:r>
    </w:p>
    <w:bookmarkEnd w:id="4"/>
    <w:p>
      <w:pPr>
        <w:pStyle w:val="57"/>
        <w:ind w:firstLine="420"/>
      </w:pPr>
      <w:r>
        <w:rPr>
          <w:rFonts w:hint="eastAsia"/>
        </w:rPr>
        <w:t>样品吸光系数计算：</w:t>
      </w:r>
    </w:p>
    <w:p>
      <w:pPr>
        <w:pStyle w:val="57"/>
        <w:ind w:left="4110" w:leftChars="1957" w:firstLine="0" w:firstLine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样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f>
          <w:bookmarkStart w:id="7" w:name="_Hlk110272331"/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hint="eastAsia" w:ascii="Cambria Math" w:hAnsi="Cambria Math"/>
                  </w:rPr>
                  <m:t>样</m:t>
                </m:r>
                <w:bookmarkEnd w:id="7"/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×50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hint="eastAsia" w:ascii="Cambria Math" w:hAnsi="Cambria Math"/>
                  </w:rPr>
                  <m:t>样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                           </w:t>
      </w:r>
      <w:r>
        <w:rPr>
          <w:rFonts w:hint="eastAsia"/>
        </w:rPr>
        <w:t>公式（1）</w:t>
      </w:r>
    </w:p>
    <w:p>
      <w:pPr>
        <w:pStyle w:val="57"/>
        <w:ind w:left="424" w:leftChars="202" w:firstLine="0" w:firstLineChars="0"/>
      </w:pPr>
      <w:r>
        <w:rPr>
          <w:rFonts w:hint="eastAsia"/>
        </w:rPr>
        <w:t>式中：</w:t>
      </w:r>
      <w:r>
        <w:rPr>
          <w:rFonts w:hint="eastAsia"/>
          <w:i/>
          <w:iCs/>
        </w:rPr>
        <w:t>E</w:t>
      </w:r>
      <w:r>
        <w:rPr>
          <w:rFonts w:hint="eastAsia"/>
          <w:i/>
          <w:iCs/>
          <w:vertAlign w:val="subscript"/>
        </w:rPr>
        <w:t>样</w:t>
      </w:r>
      <w:r>
        <w:rPr>
          <w:rFonts w:hint="eastAsia"/>
        </w:rPr>
        <w:t>：样品吸光系数；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</w:rPr>
        <w:t>A</w:t>
      </w:r>
      <w:r>
        <w:rPr>
          <w:rFonts w:hint="eastAsia"/>
          <w:i/>
          <w:iCs/>
          <w:vertAlign w:val="subscript"/>
        </w:rPr>
        <w:t>样</w:t>
      </w:r>
      <w:r>
        <w:rPr>
          <w:rFonts w:hint="eastAsia"/>
        </w:rPr>
        <w:t>：样品吸光度;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</w:rPr>
        <w:t>m</w:t>
      </w:r>
      <w:r>
        <w:rPr>
          <w:rFonts w:hint="eastAsia"/>
          <w:i/>
          <w:iCs/>
          <w:vertAlign w:val="subscript"/>
        </w:rPr>
        <w:t>样</w:t>
      </w:r>
      <w:r>
        <w:rPr>
          <w:rFonts w:hint="eastAsia"/>
        </w:rPr>
        <w:t>：样品质量，g</w:t>
      </w:r>
      <w:r>
        <w:t>;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</w:rPr>
        <w:t>5</w:t>
      </w:r>
      <w:r>
        <w:rPr>
          <w:i/>
          <w:iCs/>
        </w:rPr>
        <w:t>0</w:t>
      </w:r>
      <w:r>
        <w:rPr>
          <w:rFonts w:hint="eastAsia"/>
        </w:rPr>
        <w:t>：稀释倍数；</w:t>
      </w:r>
    </w:p>
    <w:p>
      <w:pPr>
        <w:pStyle w:val="57"/>
        <w:ind w:left="424" w:leftChars="202" w:firstLine="0" w:firstLineChars="0"/>
      </w:pPr>
    </w:p>
    <w:p>
      <w:pPr>
        <w:pStyle w:val="57"/>
        <w:ind w:left="424" w:leftChars="202" w:firstLine="0" w:firstLineChars="0"/>
      </w:pPr>
      <w:r>
        <w:rPr>
          <w:rFonts w:hint="eastAsia"/>
        </w:rPr>
        <w:t>标准品吸光系数计算：</w:t>
      </w:r>
    </w:p>
    <w:p>
      <w:pPr>
        <w:pStyle w:val="57"/>
        <w:ind w:left="4110" w:leftChars="1957" w:firstLine="0" w:firstLineChars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hint="eastAsia" w:ascii="Cambria Math" w:hAnsi="Cambria Math"/>
              </w:rPr>
              <m:t>E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hint="eastAsia" w:ascii="Cambria Math" w:hAnsi="Cambria Math"/>
              </w:rPr>
              <m:t>标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A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hint="eastAsia" w:ascii="Cambria Math" w:hAnsi="Cambria Math"/>
                  </w:rPr>
                  <m:t>标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</w:rPr>
              <m:t>×50</m:t>
            </m:r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hint="eastAsia" w:ascii="Cambria Math" w:hAnsi="Cambria Math"/>
                  </w:rPr>
                  <m:t>m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hint="eastAsia" w:ascii="Cambria Math" w:hAnsi="Cambria Math"/>
                  </w:rPr>
                  <m:t>标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hint="eastAsia"/>
        </w:rPr>
        <w:t xml:space="preserve"> </w:t>
      </w:r>
      <w:r>
        <w:t xml:space="preserve">                              </w:t>
      </w:r>
      <w:r>
        <w:rPr>
          <w:rFonts w:hint="eastAsia"/>
        </w:rPr>
        <w:t>公式（</w:t>
      </w:r>
      <w:r>
        <w:t>2</w:t>
      </w:r>
      <w:r>
        <w:rPr>
          <w:rFonts w:hint="eastAsia"/>
        </w:rPr>
        <w:t>）</w:t>
      </w:r>
    </w:p>
    <w:p>
      <w:pPr>
        <w:pStyle w:val="57"/>
        <w:ind w:left="424" w:leftChars="202" w:firstLine="0" w:firstLineChars="0"/>
      </w:pPr>
      <w:r>
        <w:rPr>
          <w:rFonts w:hint="eastAsia"/>
        </w:rPr>
        <w:t>式中：</w:t>
      </w:r>
      <w:r>
        <w:rPr>
          <w:rFonts w:hint="eastAsia"/>
          <w:i/>
          <w:iCs/>
        </w:rPr>
        <w:t>E</w:t>
      </w:r>
      <w:r>
        <w:rPr>
          <w:rFonts w:hint="eastAsia"/>
          <w:i/>
          <w:iCs/>
          <w:vertAlign w:val="subscript"/>
        </w:rPr>
        <w:t>标</w:t>
      </w:r>
      <w:r>
        <w:rPr>
          <w:rFonts w:hint="eastAsia"/>
        </w:rPr>
        <w:t>：标准品吸光系数；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</w:rPr>
        <w:t>A</w:t>
      </w:r>
      <w:r>
        <w:rPr>
          <w:rFonts w:hint="eastAsia"/>
          <w:i/>
          <w:iCs/>
          <w:vertAlign w:val="subscript"/>
        </w:rPr>
        <w:t>标</w:t>
      </w:r>
      <w:r>
        <w:rPr>
          <w:rFonts w:hint="eastAsia"/>
        </w:rPr>
        <w:t>：标准品吸光度;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  <w:lang w:val="en-US" w:eastAsia="zh-CN"/>
        </w:rPr>
        <w:t>m</w:t>
      </w:r>
      <w:r>
        <w:rPr>
          <w:rFonts w:hint="eastAsia"/>
          <w:i/>
          <w:iCs/>
          <w:vertAlign w:val="subscript"/>
        </w:rPr>
        <w:t>标</w:t>
      </w:r>
      <w:r>
        <w:rPr>
          <w:rFonts w:hint="eastAsia"/>
        </w:rPr>
        <w:t>：标准品质量，g</w:t>
      </w:r>
      <w:r>
        <w:t>;</w:t>
      </w:r>
    </w:p>
    <w:p>
      <w:pPr>
        <w:pStyle w:val="57"/>
        <w:ind w:left="424" w:leftChars="202" w:firstLine="630" w:firstLineChars="300"/>
      </w:pPr>
      <w:r>
        <w:rPr>
          <w:rFonts w:hint="eastAsia"/>
          <w:i/>
          <w:iCs/>
        </w:rPr>
        <w:t>5</w:t>
      </w:r>
      <w:r>
        <w:rPr>
          <w:i/>
          <w:iCs/>
        </w:rPr>
        <w:t>0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稀释</w:t>
      </w:r>
      <w:r>
        <w:rPr>
          <w:rFonts w:hint="eastAsia"/>
        </w:rPr>
        <w:t>倍数；</w:t>
      </w:r>
    </w:p>
    <w:p>
      <w:pPr>
        <w:pStyle w:val="57"/>
        <w:ind w:left="424" w:leftChars="202" w:firstLine="0" w:firstLineChars="0"/>
      </w:pPr>
    </w:p>
    <w:p>
      <w:pPr>
        <w:pStyle w:val="57"/>
        <w:ind w:left="424" w:leftChars="202" w:firstLine="0" w:firstLineChars="0"/>
      </w:pPr>
      <w:r>
        <w:rPr>
          <w:rFonts w:hint="eastAsia"/>
        </w:rPr>
        <w:t>样品与标准品吸光系数差值计算：</w:t>
      </w:r>
    </w:p>
    <w:p>
      <w:pPr>
        <w:pStyle w:val="57"/>
        <w:ind w:left="2835" w:leftChars="1350" w:firstLine="1163" w:firstLineChars="554"/>
        <w:rPr>
          <w:rFonts w:hint="eastAsia" w:eastAsia="宋体"/>
          <w:i/>
          <w:lang w:eastAsia="zh-CN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hint="eastAsia" w:ascii="Cambria Math" w:hAnsi="Cambria Math"/>
                <w:lang w:val="en-US" w:eastAsia="zh-CN"/>
              </w:rPr>
              <m:t>公式（</m:t>
            </m:r>
            <m:r>
              <m:rPr/>
              <w:rPr>
                <w:rFonts w:hint="default" w:ascii="Cambria Math" w:hAnsi="Cambria Math"/>
                <w:lang w:val="en-US" w:eastAsia="zh-CN"/>
              </w:rPr>
              <m:t>1</m:t>
            </m:r>
            <m:r>
              <m:rPr/>
              <w:rPr>
                <w:rFonts w:hint="eastAsia" w:ascii="Cambria Math" w:hAnsi="Cambria Math"/>
                <w:lang w:val="en-US" w:eastAsia="zh-CN"/>
              </w:rPr>
              <m:t>）</m:t>
            </m:r>
            <m:r>
              <m:rPr/>
              <w:rPr>
                <w:rFonts w:ascii="Cambria Math" w:hAnsi="Cambria Math"/>
                <w:lang w:val="en-US"/>
              </w:rPr>
              <m:t>−</m:t>
            </m:r>
            <m:r>
              <m:rPr/>
              <w:rPr>
                <w:rFonts w:hint="eastAsia" w:ascii="Cambria Math" w:hAnsi="Cambria Math"/>
                <w:lang w:val="en-US" w:eastAsia="zh-CN"/>
              </w:rPr>
              <m:t>公式（</m:t>
            </m:r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r>
              <m:rPr/>
              <w:rPr>
                <w:rFonts w:hint="eastAsia" w:ascii="Cambria Math" w:hAnsi="Cambria Math"/>
                <w:lang w:val="en-US" w:eastAsia="zh-CN"/>
              </w:rPr>
              <m:t>）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hint="eastAsia" w:ascii="Cambria Math" w:hAnsi="Cambria Math"/>
                <w:lang w:val="en-US" w:eastAsia="zh-CN"/>
              </w:rPr>
              <m:t>公式（</m:t>
            </m:r>
            <m:r>
              <m:rPr/>
              <w:rPr>
                <w:rFonts w:hint="default" w:ascii="Cambria Math" w:hAnsi="Cambria Math"/>
                <w:lang w:val="en-US" w:eastAsia="zh-CN"/>
              </w:rPr>
              <m:t>2</m:t>
            </m:r>
            <m:r>
              <m:rPr/>
              <w:rPr>
                <w:rFonts w:hint="eastAsia" w:ascii="Cambria Math" w:hAnsi="Cambria Math"/>
                <w:lang w:val="en-US" w:eastAsia="zh-CN"/>
              </w:rPr>
              <m:t>）</m:t>
            </m:r>
            <m:ctrlPr>
              <w:rPr>
                <w:rFonts w:ascii="Cambria Math" w:hAnsi="Cambria Math"/>
                <w:i/>
              </w:rPr>
            </m:ctrlPr>
          </m:den>
        </m:f>
        <m:r>
          <m:rPr/>
          <w:rPr>
            <w:rFonts w:ascii="Cambria Math" w:hAnsi="Cambria Math"/>
          </w:rPr>
          <m:t>×</m:t>
        </m:r>
        <m:r>
          <m:rPr/>
          <w:rPr>
            <w:rFonts w:hint="default" w:ascii="Cambria Math" w:hAnsi="Cambria Math"/>
            <w:lang w:val="en-US" w:eastAsia="zh-CN"/>
          </w:rPr>
          <m:t>100</m:t>
        </m:r>
        <m:r>
          <m:rPr/>
          <w:rPr>
            <w:rFonts w:hint="eastAsia" w:ascii="Cambria Math" w:hAnsi="Cambria Math"/>
            <w:lang w:val="en-US" w:eastAsia="zh-CN"/>
          </w:rPr>
          <m:t>%</m:t>
        </m:r>
      </m:oMath>
      <w:r>
        <w:rPr>
          <w:rFonts w:hint="eastAsia" w:hAnsi="Cambria Math"/>
          <w:i w:val="0"/>
          <w:lang w:val="en-US" w:eastAsia="zh-CN"/>
        </w:rPr>
        <w:t xml:space="preserve">                     </w:t>
      </w:r>
      <w:r>
        <w:rPr>
          <w:rFonts w:hint="eastAsia"/>
        </w:rPr>
        <w:t>公式（3）</w:t>
      </w:r>
      <w:r>
        <w:t xml:space="preserve">                </w:t>
      </w:r>
    </w:p>
    <w:p>
      <w:pPr>
        <w:pStyle w:val="64"/>
        <w:spacing w:before="156" w:beforeLines="50" w:after="156" w:afterLines="50"/>
        <w:rPr>
          <w:rFonts w:hAnsi="黑体" w:cs="黑体"/>
          <w:kern w:val="2"/>
          <w:szCs w:val="21"/>
        </w:rPr>
      </w:pPr>
      <w:r>
        <w:rPr>
          <w:rFonts w:hint="eastAsia" w:hAnsi="黑体" w:cs="黑体"/>
          <w:kern w:val="2"/>
          <w:szCs w:val="21"/>
        </w:rPr>
        <w:t>气相色谱法鉴别</w:t>
      </w:r>
    </w:p>
    <w:p>
      <w:pPr>
        <w:pStyle w:val="63"/>
        <w:numPr>
          <w:ilvl w:val="5"/>
          <w:numId w:val="15"/>
        </w:numPr>
        <w:spacing w:before="156" w:beforeLines="50" w:after="156" w:afterLines="50"/>
      </w:pPr>
      <w:bookmarkStart w:id="8" w:name="_Hlk110274568"/>
      <w:r>
        <w:rPr>
          <w:rFonts w:hint="eastAsia"/>
        </w:rPr>
        <w:t>仪器和材料</w:t>
      </w:r>
    </w:p>
    <w:bookmarkEnd w:id="8"/>
    <w:p>
      <w:pPr>
        <w:pStyle w:val="57"/>
        <w:numPr>
          <w:ilvl w:val="0"/>
          <w:numId w:val="16"/>
        </w:numPr>
        <w:ind w:firstLineChars="0"/>
      </w:pPr>
      <w:bookmarkStart w:id="9" w:name="_Hlk110275078"/>
      <w:r>
        <w:rPr>
          <w:rFonts w:hint="eastAsia"/>
        </w:rPr>
        <w:t>气相色谱仪</w:t>
      </w:r>
      <w:r>
        <w:rPr>
          <w:rFonts w:hint="eastAsia"/>
          <w:lang w:eastAsia="zh-CN"/>
        </w:rPr>
        <w:t>：</w:t>
      </w:r>
      <w:r>
        <w:rPr>
          <w:rFonts w:hint="eastAsia"/>
        </w:rPr>
        <w:t>符合《中华人民共和国药典》（2020年版）第四部通则0</w:t>
      </w:r>
      <w:r>
        <w:t>521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气相色谱仪法要求；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分析天平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感量</w:t>
      </w:r>
      <w:r>
        <w:rPr>
          <w:rFonts w:hint="eastAsia"/>
        </w:rPr>
        <w:t>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1</w:t>
      </w:r>
      <w:r>
        <w:t xml:space="preserve">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丙酮；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奥克立林标准品；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氦气：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16"/>
        </w:numPr>
        <w:ind w:firstLineChars="0"/>
      </w:pPr>
      <w:r>
        <w:rPr>
          <w:rFonts w:hint="eastAsia"/>
        </w:rPr>
        <w:t>氢气：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16"/>
        </w:numPr>
        <w:ind w:hanging="420" w:firstLineChars="0"/>
      </w:pPr>
      <w:r>
        <w:rPr>
          <w:rFonts w:hint="eastAsia"/>
        </w:rPr>
        <w:t>空气：经硅胶和分子筛干燥、净化。</w:t>
      </w:r>
    </w:p>
    <w:bookmarkEnd w:id="9"/>
    <w:p>
      <w:pPr>
        <w:pStyle w:val="63"/>
        <w:numPr>
          <w:ilvl w:val="5"/>
          <w:numId w:val="15"/>
        </w:numPr>
        <w:spacing w:before="156" w:beforeLines="50" w:after="156" w:afterLines="50"/>
      </w:pPr>
      <w:r>
        <w:rPr>
          <w:rFonts w:hint="eastAsia"/>
        </w:rPr>
        <w:t>溶液配制</w:t>
      </w:r>
    </w:p>
    <w:p>
      <w:pPr>
        <w:pStyle w:val="57"/>
        <w:numPr>
          <w:ilvl w:val="0"/>
          <w:numId w:val="17"/>
        </w:numPr>
        <w:ind w:firstLineChars="0"/>
      </w:pPr>
      <w:r>
        <w:rPr>
          <w:rFonts w:hint="eastAsia"/>
        </w:rPr>
        <w:t>标准溶液：</w:t>
      </w:r>
      <w:bookmarkStart w:id="10" w:name="_Hlk110274847"/>
      <w:r>
        <w:rPr>
          <w:rFonts w:hint="eastAsia"/>
        </w:rPr>
        <w:t>准确称取0</w:t>
      </w:r>
      <w:r>
        <w:t>.21 g</w:t>
      </w:r>
      <w:r>
        <w:rPr>
          <w:rFonts w:hint="eastAsia"/>
        </w:rPr>
        <w:t>奥克立林标准品于1</w:t>
      </w:r>
      <w:r>
        <w:t xml:space="preserve">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容量瓶中，用丙酮溶解并定容至刻度，混匀；</w:t>
      </w:r>
      <w:bookmarkEnd w:id="10"/>
    </w:p>
    <w:p>
      <w:pPr>
        <w:pStyle w:val="57"/>
        <w:numPr>
          <w:ilvl w:val="0"/>
          <w:numId w:val="17"/>
        </w:numPr>
        <w:ind w:firstLineChars="0"/>
      </w:pPr>
      <w:r>
        <w:rPr>
          <w:rFonts w:hint="eastAsia"/>
        </w:rPr>
        <w:t>样品溶液：准确称取0.21 g样品于10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容量瓶中，用丙酮溶解并定容至刻度，混匀。</w:t>
      </w:r>
    </w:p>
    <w:p>
      <w:pPr>
        <w:pStyle w:val="63"/>
        <w:numPr>
          <w:ilvl w:val="5"/>
          <w:numId w:val="15"/>
        </w:numPr>
        <w:spacing w:before="156" w:beforeLines="50" w:after="156" w:afterLines="50"/>
      </w:pPr>
      <w:r>
        <w:rPr>
          <w:rFonts w:hint="eastAsia"/>
        </w:rPr>
        <w:t>色谱条件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色谱柱：60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m*0.32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  <w:lang w:val="zh-CN"/>
        </w:rPr>
        <w:t>mm</w:t>
      </w:r>
      <w:r>
        <w:rPr>
          <w:rFonts w:hint="eastAsia" w:hAnsi="宋体" w:cs="宋体"/>
          <w:lang w:val="zh-CN"/>
        </w:rPr>
        <w:t>*0.25</w:t>
      </w:r>
      <w:r>
        <w:rPr>
          <w:rFonts w:hint="eastAsia" w:hAnsi="宋体" w:cs="宋体"/>
        </w:rPr>
        <w:t xml:space="preserve"> </w:t>
      </w:r>
      <w:r>
        <w:rPr>
          <w:rFonts w:hAnsi="宋体" w:cs="宋体"/>
          <w:lang w:val="zh-CN"/>
        </w:rPr>
        <w:t>um</w:t>
      </w:r>
      <w:r>
        <w:rPr>
          <w:rFonts w:hint="eastAsia" w:hAnsi="宋体" w:cs="宋体"/>
          <w:lang w:val="zh-CN"/>
        </w:rPr>
        <w:t>，填料：二甲基聚硅氧烷（或其他类似等效色谱柱）；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检测器：FID；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进样口温度：300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en-US" w:eastAsia="zh-CN"/>
        </w:rPr>
        <w:t>℃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检测器温度：300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℃；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柱温：程序升温（</w:t>
      </w:r>
      <w:r>
        <w:rPr>
          <w:rFonts w:hint="eastAsia" w:hAnsi="宋体" w:cs="宋体"/>
        </w:rPr>
        <w:t>详见</w:t>
      </w:r>
      <w:r>
        <w:rPr>
          <w:rFonts w:hint="eastAsia" w:hAnsi="宋体" w:cs="宋体"/>
          <w:lang w:val="zh-CN"/>
        </w:rPr>
        <w:t>表2）；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载气：氦气；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色谱柱流速：6</w:t>
      </w:r>
      <w:r>
        <w:rPr>
          <w:rFonts w:hint="eastAsia" w:hAnsi="宋体" w:cs="宋体"/>
        </w:rPr>
        <w:t xml:space="preserve">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  <w:lang w:val="en-US" w:eastAsia="zh-CN"/>
        </w:rPr>
        <w:t>l</w:t>
      </w:r>
      <w:r>
        <w:rPr>
          <w:rFonts w:hint="eastAsia" w:hAnsi="宋体" w:cs="宋体"/>
          <w:lang w:val="zh-CN"/>
        </w:rPr>
        <w:t>/</w:t>
      </w:r>
      <w:r>
        <w:rPr>
          <w:rFonts w:hAnsi="宋体" w:cs="宋体"/>
          <w:lang w:val="zh-CN"/>
        </w:rPr>
        <w:t>min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燃气（氢气）流量：3</w:t>
      </w:r>
      <w:r>
        <w:rPr>
          <w:rFonts w:hAnsi="宋体" w:cs="宋体"/>
          <w:lang w:val="zh-CN"/>
        </w:rPr>
        <w:t xml:space="preserve">0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  <w:lang w:val="en-US" w:eastAsia="zh-CN"/>
        </w:rPr>
        <w:t>l</w:t>
      </w:r>
      <w:r>
        <w:rPr>
          <w:rFonts w:hAnsi="宋体" w:cs="宋体"/>
          <w:lang w:val="zh-CN"/>
        </w:rPr>
        <w:t>/</w:t>
      </w:r>
      <w:r>
        <w:rPr>
          <w:rFonts w:hint="eastAsia" w:hAnsi="宋体" w:cs="宋体"/>
          <w:lang w:val="zh-CN"/>
        </w:rPr>
        <w:t>min；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空气流量：3</w:t>
      </w:r>
      <w:r>
        <w:rPr>
          <w:rFonts w:hAnsi="宋体" w:cs="宋体"/>
          <w:lang w:val="zh-CN"/>
        </w:rPr>
        <w:t xml:space="preserve">00 </w:t>
      </w:r>
      <w:r>
        <w:rPr>
          <w:rFonts w:hint="eastAsia" w:hAnsi="宋体" w:cs="宋体"/>
          <w:lang w:val="zh-CN"/>
        </w:rPr>
        <w:t>m</w:t>
      </w:r>
      <w:r>
        <w:rPr>
          <w:rFonts w:hint="eastAsia" w:hAnsi="宋体" w:cs="宋体"/>
          <w:lang w:val="en-US" w:eastAsia="zh-CN"/>
        </w:rPr>
        <w:t>l</w:t>
      </w:r>
      <w:r>
        <w:rPr>
          <w:rFonts w:hAnsi="宋体" w:cs="宋体"/>
          <w:lang w:val="zh-CN"/>
        </w:rPr>
        <w:t>/</w:t>
      </w:r>
      <w:r>
        <w:rPr>
          <w:rFonts w:hint="eastAsia" w:hAnsi="宋体" w:cs="宋体"/>
          <w:lang w:val="zh-CN"/>
        </w:rPr>
        <w:t>min；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进样量：1 u</w:t>
      </w:r>
      <w:r>
        <w:rPr>
          <w:rFonts w:hint="eastAsia" w:hAnsi="宋体" w:cs="宋体"/>
          <w:lang w:val="en-US" w:eastAsia="zh-CN"/>
        </w:rPr>
        <w:t>l</w:t>
      </w:r>
      <w:r>
        <w:rPr>
          <w:rFonts w:hint="eastAsia" w:hAnsi="宋体" w:cs="宋体"/>
          <w:lang w:val="zh-CN"/>
        </w:rPr>
        <w:t>；</w:t>
      </w:r>
    </w:p>
    <w:p>
      <w:pPr>
        <w:pStyle w:val="101"/>
        <w:numPr>
          <w:ilvl w:val="0"/>
          <w:numId w:val="18"/>
        </w:numPr>
        <w:ind w:leftChars="0" w:firstLineChars="0"/>
        <w:rPr>
          <w:rFonts w:hAnsi="宋体" w:cs="宋体"/>
          <w:lang w:val="zh-CN"/>
        </w:rPr>
      </w:pPr>
      <w:r>
        <w:rPr>
          <w:rFonts w:hint="eastAsia" w:hAnsi="宋体" w:cs="宋体"/>
          <w:lang w:val="zh-CN"/>
        </w:rPr>
        <w:t>分流比：30</w:t>
      </w:r>
      <w:r>
        <w:rPr>
          <w:rFonts w:hint="eastAsia" w:hAnsi="宋体" w:cs="宋体"/>
        </w:rPr>
        <w:t>:</w:t>
      </w:r>
      <w:r>
        <w:rPr>
          <w:rFonts w:hint="eastAsia" w:hAnsi="宋体" w:cs="宋体"/>
          <w:lang w:val="zh-CN"/>
        </w:rPr>
        <w:t>1；</w:t>
      </w:r>
    </w:p>
    <w:p>
      <w:pPr>
        <w:pStyle w:val="101"/>
        <w:numPr>
          <w:ilvl w:val="0"/>
          <w:numId w:val="18"/>
        </w:numPr>
        <w:rPr>
          <w:rFonts w:hAnsi="宋体"/>
          <w:lang w:val="zh-CN"/>
        </w:rPr>
      </w:pPr>
      <w:r>
        <w:rPr>
          <w:rFonts w:hint="eastAsia" w:hAnsi="宋体" w:cs="宋体"/>
          <w:lang w:val="zh-CN"/>
        </w:rPr>
        <w:t>采集时间：6</w:t>
      </w:r>
      <w:r>
        <w:rPr>
          <w:rFonts w:hAnsi="宋体" w:cs="宋体"/>
          <w:lang w:val="zh-CN"/>
        </w:rPr>
        <w:t>0</w:t>
      </w:r>
      <w:r>
        <w:rPr>
          <w:rFonts w:hint="eastAsia" w:hAnsi="宋体" w:cs="宋体"/>
          <w:lang w:val="zh-CN"/>
        </w:rPr>
        <w:t>min。</w:t>
      </w:r>
    </w:p>
    <w:p>
      <w:pPr>
        <w:pStyle w:val="76"/>
        <w:spacing w:before="156" w:beforeLines="50" w:after="156" w:afterLines="50"/>
        <w:rPr>
          <w:rFonts w:hAnsi="宋体"/>
          <w:lang w:val="zh-CN"/>
        </w:rPr>
      </w:pPr>
      <w:r>
        <w:rPr>
          <w:rFonts w:hint="eastAsia" w:hAnsi="宋体"/>
          <w:lang w:val="zh-CN"/>
        </w:rPr>
        <w:t>表</w:t>
      </w:r>
      <w:r>
        <w:rPr>
          <w:rFonts w:hAnsi="宋体"/>
          <w:lang w:val="zh-CN"/>
        </w:rPr>
        <w:t xml:space="preserve">2 </w:t>
      </w:r>
      <w:r>
        <w:rPr>
          <w:rFonts w:hint="eastAsia" w:hAnsi="宋体"/>
          <w:lang w:val="zh-CN"/>
        </w:rPr>
        <w:t>柱温</w:t>
      </w:r>
      <w:r>
        <w:rPr>
          <w:rFonts w:hAnsi="宋体"/>
          <w:lang w:val="zh-CN"/>
        </w:rPr>
        <w:t xml:space="preserve"> </w:t>
      </w:r>
      <w:r>
        <w:rPr>
          <w:rFonts w:hint="eastAsia" w:hAnsi="宋体"/>
          <w:lang w:val="zh-CN"/>
        </w:rPr>
        <w:t>程序升温</w:t>
      </w:r>
    </w:p>
    <w:tbl>
      <w:tblPr>
        <w:tblStyle w:val="32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268"/>
        <w:gridCol w:w="2127"/>
        <w:gridCol w:w="2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初始温度</w:t>
            </w:r>
          </w:p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（℃）</w:t>
            </w:r>
          </w:p>
        </w:tc>
        <w:tc>
          <w:tcPr>
            <w:tcW w:w="2268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升温速率</w:t>
            </w:r>
          </w:p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（℃/</w:t>
            </w:r>
            <w:r>
              <w:rPr>
                <w:rFonts w:hAnsi="宋体" w:cs="宋体"/>
                <w:sz w:val="18"/>
                <w:szCs w:val="16"/>
                <w:lang w:val="zh-CN"/>
              </w:rPr>
              <w:t>min</w:t>
            </w:r>
            <w:r>
              <w:rPr>
                <w:rFonts w:hint="eastAsia" w:hAnsi="宋体" w:cs="宋体"/>
                <w:sz w:val="18"/>
                <w:szCs w:val="16"/>
                <w:lang w:val="zh-CN"/>
              </w:rPr>
              <w:t>）</w:t>
            </w:r>
          </w:p>
        </w:tc>
        <w:tc>
          <w:tcPr>
            <w:tcW w:w="2127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终止温度</w:t>
            </w:r>
          </w:p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（℃）</w:t>
            </w:r>
          </w:p>
        </w:tc>
        <w:tc>
          <w:tcPr>
            <w:tcW w:w="2120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终温保持时间</w:t>
            </w:r>
          </w:p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（min）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80</w:t>
            </w:r>
          </w:p>
        </w:tc>
        <w:tc>
          <w:tcPr>
            <w:tcW w:w="2268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4</w:t>
            </w:r>
          </w:p>
        </w:tc>
        <w:tc>
          <w:tcPr>
            <w:tcW w:w="2127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280</w:t>
            </w:r>
          </w:p>
        </w:tc>
        <w:tc>
          <w:tcPr>
            <w:tcW w:w="2120" w:type="dxa"/>
          </w:tcPr>
          <w:p>
            <w:pPr>
              <w:pStyle w:val="101"/>
              <w:ind w:left="0" w:leftChars="0" w:firstLine="0" w:firstLineChars="0"/>
              <w:jc w:val="center"/>
              <w:rPr>
                <w:rFonts w:hAnsi="宋体" w:cs="宋体"/>
                <w:sz w:val="18"/>
                <w:szCs w:val="16"/>
                <w:lang w:val="zh-CN"/>
              </w:rPr>
            </w:pPr>
            <w:r>
              <w:rPr>
                <w:rFonts w:hint="eastAsia" w:hAnsi="宋体" w:cs="宋体"/>
                <w:sz w:val="18"/>
                <w:szCs w:val="16"/>
                <w:lang w:val="zh-CN"/>
              </w:rPr>
              <w:t>10</w:t>
            </w:r>
          </w:p>
        </w:tc>
      </w:tr>
    </w:tbl>
    <w:p>
      <w:pPr>
        <w:pStyle w:val="63"/>
        <w:numPr>
          <w:ilvl w:val="5"/>
          <w:numId w:val="15"/>
        </w:numPr>
        <w:spacing w:before="156" w:beforeLines="50" w:after="156" w:afterLines="50"/>
      </w:pPr>
      <w:r>
        <w:rPr>
          <w:rFonts w:hint="eastAsia"/>
        </w:rPr>
        <w:t>操作步骤</w:t>
      </w:r>
    </w:p>
    <w:p>
      <w:pPr>
        <w:pStyle w:val="57"/>
        <w:ind w:firstLine="420"/>
      </w:pPr>
      <w:r>
        <w:rPr>
          <w:rFonts w:hint="eastAsia"/>
        </w:rPr>
        <w:t>在6.3.5 含量的测定下记录的色谱图中，样品溶液主峰的保留时间与标准溶液主峰的保留时间一致。</w:t>
      </w:r>
    </w:p>
    <w:p>
      <w:pPr>
        <w:pStyle w:val="61"/>
        <w:spacing w:before="156" w:beforeLines="50" w:after="156" w:afterLines="50"/>
      </w:pPr>
      <w:r>
        <w:rPr>
          <w:rFonts w:hint="eastAsia"/>
        </w:rPr>
        <w:t>相对密度测定</w:t>
      </w:r>
    </w:p>
    <w:p>
      <w:pPr>
        <w:pStyle w:val="57"/>
        <w:ind w:firstLine="420"/>
      </w:pPr>
      <w:r>
        <w:rPr>
          <w:rFonts w:hint="eastAsia"/>
        </w:rPr>
        <w:t>按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通则0</w:t>
      </w:r>
      <w:r>
        <w:rPr>
          <w:rFonts w:hint="eastAsia"/>
        </w:rPr>
        <w:t>6</w:t>
      </w:r>
      <w:r>
        <w:t>01</w:t>
      </w:r>
      <w:r>
        <w:rPr>
          <w:rFonts w:hint="eastAsia"/>
        </w:rPr>
        <w:t>中第一法（比重瓶法）或第三法（振荡型密度计法）</w:t>
      </w:r>
      <w:r>
        <w:t>执行</w:t>
      </w:r>
      <w:r>
        <w:rPr>
          <w:rFonts w:hint="eastAsia"/>
        </w:rPr>
        <w:t>。</w:t>
      </w:r>
    </w:p>
    <w:p>
      <w:pPr>
        <w:pStyle w:val="61"/>
        <w:spacing w:before="156" w:beforeLines="50" w:after="156" w:afterLines="50"/>
      </w:pPr>
      <w:r>
        <w:rPr>
          <w:rFonts w:hint="eastAsia"/>
        </w:rPr>
        <w:t>折光率测定</w:t>
      </w:r>
    </w:p>
    <w:p>
      <w:pPr>
        <w:pStyle w:val="57"/>
        <w:ind w:firstLine="420"/>
      </w:pPr>
      <w:r>
        <w:rPr>
          <w:rFonts w:hint="eastAsia"/>
        </w:rPr>
        <w:t>按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通则0</w:t>
      </w:r>
      <w:r>
        <w:rPr>
          <w:rFonts w:hint="eastAsia"/>
        </w:rPr>
        <w:t>622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折光率测定法</w:t>
      </w:r>
      <w:r>
        <w:t>执行</w:t>
      </w:r>
      <w:r>
        <w:rPr>
          <w:rFonts w:hint="eastAsia"/>
        </w:rPr>
        <w:t>。</w:t>
      </w:r>
    </w:p>
    <w:p>
      <w:pPr>
        <w:pStyle w:val="61"/>
        <w:spacing w:before="156" w:beforeLines="50" w:after="156" w:afterLines="50"/>
        <w:rPr>
          <w:kern w:val="2"/>
        </w:rPr>
      </w:pPr>
      <w:r>
        <w:rPr>
          <w:rFonts w:hint="eastAsia"/>
          <w:kern w:val="2"/>
        </w:rPr>
        <w:t>酸</w:t>
      </w:r>
      <w:r>
        <w:rPr>
          <w:rFonts w:hint="eastAsia"/>
          <w:kern w:val="2"/>
          <w:lang w:val="en-US" w:eastAsia="zh-CN"/>
        </w:rPr>
        <w:t>度</w:t>
      </w:r>
      <w:r>
        <w:rPr>
          <w:rFonts w:hint="eastAsia"/>
          <w:kern w:val="2"/>
        </w:rPr>
        <w:t>的测定</w:t>
      </w:r>
    </w:p>
    <w:p>
      <w:pPr>
        <w:pStyle w:val="64"/>
        <w:spacing w:before="156" w:beforeLines="50" w:after="156" w:afterLines="50"/>
      </w:pPr>
      <w:r>
        <w:t>仪器和材料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</w:rPr>
      </w:pPr>
      <w:r>
        <w:rPr>
          <w:rFonts w:hint="eastAsia" w:hAnsi="宋体" w:cs="宋体"/>
          <w:color w:val="000000"/>
          <w:szCs w:val="21"/>
        </w:rPr>
        <w:t>分析天平</w:t>
      </w:r>
      <w:r>
        <w:rPr>
          <w:rFonts w:hint="eastAsia" w:hAnsi="宋体" w:cs="宋体"/>
        </w:rPr>
        <w:t>：</w:t>
      </w:r>
      <w:r>
        <w:rPr>
          <w:rFonts w:hint="eastAsia" w:hAnsi="宋体" w:cs="宋体"/>
          <w:lang w:val="en-US" w:eastAsia="zh-CN"/>
        </w:rPr>
        <w:t>感量</w:t>
      </w:r>
      <w:r>
        <w:rPr>
          <w:rFonts w:hint="eastAsia" w:hAnsi="宋体" w:cs="宋体"/>
        </w:rPr>
        <w:t>0.1</w:t>
      </w:r>
      <w:r>
        <w:rPr>
          <w:rFonts w:hAnsi="宋体" w:cs="宋体"/>
        </w:rPr>
        <w:t xml:space="preserve"> </w:t>
      </w:r>
      <w:r>
        <w:rPr>
          <w:rFonts w:hint="eastAsia" w:hAnsi="宋体" w:cs="宋体"/>
        </w:rPr>
        <w:t>mg</w:t>
      </w:r>
      <w:r>
        <w:rPr>
          <w:rFonts w:hint="eastAsia" w:hAnsi="宋体" w:cs="宋体"/>
          <w:szCs w:val="21"/>
        </w:rPr>
        <w:t>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锥形瓶；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量筒；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移液管；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微量滴定管：</w:t>
      </w:r>
      <w:r>
        <w:rPr>
          <w:rFonts w:hAnsi="宋体" w:cs="宋体"/>
          <w:szCs w:val="21"/>
        </w:rPr>
        <w:t xml:space="preserve">10 </w:t>
      </w:r>
      <w:r>
        <w:rPr>
          <w:rFonts w:hint="eastAsia" w:hAnsi="宋体" w:cs="宋体"/>
          <w:szCs w:val="21"/>
        </w:rPr>
        <w:t>m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（分度值</w:t>
      </w:r>
      <w:r>
        <w:rPr>
          <w:rFonts w:hAnsi="宋体" w:cs="宋体"/>
          <w:szCs w:val="21"/>
        </w:rPr>
        <w:t>0.05 m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）；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color w:val="000000"/>
          <w:szCs w:val="21"/>
        </w:rPr>
        <w:t>乙醇</w:t>
      </w:r>
      <w:r>
        <w:rPr>
          <w:rFonts w:hint="eastAsia" w:hAnsi="宋体" w:cs="宋体"/>
          <w:szCs w:val="21"/>
          <w:lang w:val="zh-CN"/>
        </w:rPr>
        <w:t>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szCs w:val="21"/>
        </w:rPr>
        <w:t>氢氧化钠；</w:t>
      </w:r>
    </w:p>
    <w:p>
      <w:pPr>
        <w:pStyle w:val="101"/>
        <w:numPr>
          <w:ilvl w:val="0"/>
          <w:numId w:val="19"/>
        </w:numPr>
        <w:ind w:leftChars="0" w:firstLineChars="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szCs w:val="21"/>
        </w:rPr>
        <w:t>1</w:t>
      </w:r>
      <w:r>
        <w:rPr>
          <w:rFonts w:hAnsi="宋体" w:cs="宋体"/>
          <w:szCs w:val="21"/>
        </w:rPr>
        <w:t xml:space="preserve">0 </w:t>
      </w:r>
      <w:r>
        <w:rPr>
          <w:rFonts w:hint="eastAsia" w:hAnsi="宋体" w:cs="宋体"/>
          <w:szCs w:val="21"/>
        </w:rPr>
        <w:t>g</w:t>
      </w:r>
      <w:r>
        <w:rPr>
          <w:rFonts w:hAnsi="宋体" w:cs="宋体"/>
          <w:szCs w:val="21"/>
        </w:rPr>
        <w:t>/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酚酞指示液：按《中华人民共和国药典》（2020年版）</w:t>
      </w:r>
      <w:r>
        <w:rPr>
          <w:rFonts w:hint="eastAsia"/>
        </w:rPr>
        <w:t>第四部试液8</w:t>
      </w:r>
      <w:r>
        <w:t>002</w:t>
      </w:r>
      <w:r>
        <w:rPr>
          <w:rFonts w:hint="eastAsia"/>
        </w:rPr>
        <w:t>制备</w:t>
      </w:r>
      <w:r>
        <w:rPr>
          <w:rFonts w:hint="eastAsia" w:hAnsi="宋体" w:cs="宋体"/>
          <w:szCs w:val="21"/>
        </w:rPr>
        <w:t>；</w:t>
      </w:r>
    </w:p>
    <w:p>
      <w:pPr>
        <w:pStyle w:val="101"/>
        <w:numPr>
          <w:ilvl w:val="0"/>
          <w:numId w:val="19"/>
        </w:numPr>
        <w:ind w:left="0" w:leftChars="0" w:firstLine="420" w:firstLineChars="0"/>
        <w:rPr>
          <w:rFonts w:hAnsi="宋体" w:cs="宋体"/>
          <w:szCs w:val="21"/>
          <w:lang w:val="zh-CN"/>
        </w:rPr>
      </w:pPr>
      <w:r>
        <w:rPr>
          <w:rFonts w:hint="eastAsia" w:hAnsi="宋体" w:cs="宋体"/>
          <w:szCs w:val="21"/>
        </w:rPr>
        <w:t>0.1</w:t>
      </w:r>
      <w:r>
        <w:rPr>
          <w:rFonts w:hint="eastAsia" w:hAnsi="宋体" w:cs="宋体"/>
          <w:szCs w:val="21"/>
          <w:lang w:val="en-US" w:eastAsia="zh-CN"/>
        </w:rPr>
        <w:t xml:space="preserve"> </w:t>
      </w:r>
      <w:r>
        <w:rPr>
          <w:rFonts w:hint="eastAsia" w:hAnsi="宋体" w:cs="宋体"/>
          <w:szCs w:val="21"/>
        </w:rPr>
        <w:t>mol/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氢氧化钠标准滴定溶液：按GB/T 601的方法配制。</w:t>
      </w:r>
    </w:p>
    <w:p>
      <w:pPr>
        <w:pStyle w:val="64"/>
        <w:spacing w:before="156" w:beforeLines="50" w:after="156" w:afterLines="50"/>
      </w:pPr>
      <w:r>
        <w:rPr>
          <w:rFonts w:hint="eastAsia"/>
        </w:rPr>
        <w:t>操作过程</w:t>
      </w:r>
    </w:p>
    <w:p>
      <w:pPr>
        <w:pStyle w:val="57"/>
        <w:ind w:firstLine="420"/>
        <w:rPr>
          <w:rFonts w:hint="eastAsia"/>
          <w:lang w:val="en-US" w:eastAsia="zh-CN"/>
        </w:rPr>
      </w:pPr>
      <w:r>
        <w:rPr>
          <w:rFonts w:hint="eastAsia"/>
        </w:rPr>
        <w:t>依照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</w:t>
      </w:r>
      <w:r>
        <w:rPr>
          <w:rFonts w:hint="eastAsia" w:ascii="宋体" w:hAnsi="宋体" w:cs="宋体"/>
        </w:rPr>
        <w:t>0</w:t>
      </w:r>
      <w:r>
        <w:rPr>
          <w:rFonts w:hint="eastAsia" w:hAnsi="宋体" w:cs="宋体"/>
          <w:lang w:val="en-US" w:eastAsia="zh-CN"/>
        </w:rPr>
        <w:t>713 脂肪与脂肪油测定</w:t>
      </w:r>
      <w:r>
        <w:rPr>
          <w:rFonts w:hint="eastAsia"/>
        </w:rPr>
        <w:t>法</w:t>
      </w:r>
      <w:r>
        <w:t>执行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具体操作如下：</w:t>
      </w:r>
    </w:p>
    <w:p>
      <w:pPr>
        <w:pStyle w:val="57"/>
        <w:ind w:firstLine="42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取60 m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的乙醇至锥形瓶中，加入1 m</w:t>
      </w:r>
      <w:r>
        <w:rPr>
          <w:rFonts w:hint="eastAsia" w:hAnsi="宋体" w:cs="宋体"/>
          <w:szCs w:val="21"/>
          <w:lang w:val="en-US" w:eastAsia="zh-CN"/>
        </w:rPr>
        <w:t>l，10g/l</w:t>
      </w:r>
      <w:r>
        <w:rPr>
          <w:rFonts w:hint="eastAsia" w:hAnsi="宋体" w:cs="宋体"/>
          <w:szCs w:val="21"/>
        </w:rPr>
        <w:t>酚酞指示液，用0.1 mol/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氢氧化钠标准滴定</w:t>
      </w:r>
      <w:r>
        <w:rPr>
          <w:rFonts w:hint="eastAsia" w:hAnsi="宋体" w:cs="宋体"/>
          <w:szCs w:val="21"/>
          <w:lang w:val="en-US" w:eastAsia="zh-CN"/>
        </w:rPr>
        <w:t>溶液</w:t>
      </w:r>
      <w:r>
        <w:rPr>
          <w:rFonts w:hint="eastAsia" w:hAnsi="宋体" w:cs="宋体"/>
          <w:szCs w:val="21"/>
        </w:rPr>
        <w:t>滴定至溶液呈稳定的粉红色。称取6 g</w:t>
      </w:r>
      <w:r>
        <w:rPr>
          <w:rFonts w:hint="eastAsia" w:hAnsi="宋体" w:cs="宋体"/>
          <w:szCs w:val="21"/>
          <w:lang w:val="en-US" w:eastAsia="zh-CN"/>
        </w:rPr>
        <w:t>样品</w:t>
      </w:r>
      <w:r>
        <w:rPr>
          <w:rFonts w:hint="eastAsia" w:hAnsi="宋体" w:cs="宋体"/>
          <w:szCs w:val="21"/>
        </w:rPr>
        <w:t>溶解在上述溶液中，用0.1 mol/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氢氧化钠标准滴定</w:t>
      </w:r>
      <w:r>
        <w:rPr>
          <w:rFonts w:hint="eastAsia" w:hAnsi="宋体" w:cs="宋体"/>
          <w:szCs w:val="21"/>
          <w:lang w:val="en-US" w:eastAsia="zh-CN"/>
        </w:rPr>
        <w:t>溶液</w:t>
      </w:r>
      <w:r>
        <w:rPr>
          <w:rFonts w:hint="eastAsia" w:hAnsi="宋体" w:cs="宋体"/>
          <w:szCs w:val="21"/>
        </w:rPr>
        <w:t>滴定至溶液呈粉红色，在振摇30s后仍显淡粉色，即为终点，记录消耗的0.1 mol/</w:t>
      </w:r>
      <w:r>
        <w:rPr>
          <w:rFonts w:hint="eastAsia" w:hAnsi="宋体" w:cs="宋体"/>
          <w:szCs w:val="21"/>
          <w:lang w:val="en-US" w:eastAsia="zh-CN"/>
        </w:rPr>
        <w:t>l</w:t>
      </w:r>
      <w:r>
        <w:rPr>
          <w:rFonts w:hint="eastAsia" w:hAnsi="宋体" w:cs="宋体"/>
          <w:szCs w:val="21"/>
        </w:rPr>
        <w:t>氢氧化钠标准滴定溶液的体积，并按照公式（</w:t>
      </w:r>
      <w:r>
        <w:rPr>
          <w:rFonts w:hAnsi="宋体" w:cs="宋体"/>
          <w:szCs w:val="21"/>
        </w:rPr>
        <w:t>4</w:t>
      </w:r>
      <w:r>
        <w:rPr>
          <w:rFonts w:hint="eastAsia" w:hAnsi="宋体" w:cs="宋体"/>
          <w:szCs w:val="21"/>
        </w:rPr>
        <w:t>）计算酸</w:t>
      </w:r>
      <w:r>
        <w:rPr>
          <w:rFonts w:hint="eastAsia" w:hAnsi="宋体" w:cs="宋体"/>
          <w:szCs w:val="21"/>
          <w:lang w:val="en-US" w:eastAsia="zh-CN"/>
        </w:rPr>
        <w:t>度</w:t>
      </w:r>
      <w:r>
        <w:rPr>
          <w:rFonts w:hint="eastAsia" w:hAnsi="宋体" w:cs="宋体"/>
          <w:szCs w:val="21"/>
        </w:rPr>
        <w:t>。</w:t>
      </w:r>
    </w:p>
    <w:p>
      <w:pPr>
        <w:pStyle w:val="64"/>
        <w:spacing w:before="156" w:beforeLines="50" w:after="156" w:afterLines="50"/>
        <w:rPr>
          <w:rFonts w:ascii="Calibri"/>
          <w:szCs w:val="22"/>
        </w:rPr>
      </w:pPr>
      <w:r>
        <w:rPr>
          <w:rFonts w:hint="eastAsia" w:ascii="Calibri"/>
          <w:szCs w:val="22"/>
        </w:rPr>
        <w:t>结果计算</w:t>
      </w:r>
    </w:p>
    <w:p>
      <w:pPr>
        <w:ind w:firstLine="3780" w:firstLineChars="1800"/>
        <w:jc w:val="left"/>
        <w:rPr>
          <w:iCs/>
        </w:rPr>
      </w:pPr>
      <m:oMath>
        <m:r>
          <m:rPr/>
          <w:rPr>
            <w:rFonts w:hint="eastAsia" w:ascii="Cambria Math" w:hAnsi="Cambria Math"/>
          </w:rPr>
          <m:t>酸</m:t>
        </m:r>
        <m:r>
          <m:rPr/>
          <w:rPr>
            <w:rFonts w:hint="eastAsia" w:ascii="Cambria Math" w:hAnsi="Cambria Math"/>
            <w:lang w:val="en-US" w:eastAsia="zh-CN"/>
          </w:rPr>
          <m:t>度</m:t>
        </m:r>
        <m:r>
          <m:rPr/>
          <w:rPr>
            <w:rFonts w:hint="eastAsia"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hint="eastAsia" w:ascii="Cambria Math" w:hAnsi="Cambria Math"/>
              </w:rPr>
              <m:t>VC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hint="eastAsia" w:ascii="Cambria Math" w:hAnsi="Cambria Math"/>
              </w:rPr>
              <m:t>m</m:t>
            </m:r>
            <m:r>
              <m:rPr/>
              <w:rPr>
                <w:rFonts w:ascii="Cambria Math" w:hAnsi="Cambria Math"/>
              </w:rPr>
              <m:t>×0.1</m:t>
            </m:r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iCs/>
        </w:rPr>
        <w:t xml:space="preserve">                                 </w:t>
      </w:r>
      <w:r>
        <w:rPr>
          <w:rFonts w:hint="eastAsia"/>
          <w:iCs/>
        </w:rPr>
        <w:t>公式（</w:t>
      </w:r>
      <w:r>
        <w:rPr>
          <w:iCs/>
        </w:rPr>
        <w:t>4</w:t>
      </w:r>
      <w:r>
        <w:rPr>
          <w:rFonts w:hint="eastAsia"/>
          <w:iCs/>
        </w:rPr>
        <w:t>）</w:t>
      </w:r>
    </w:p>
    <w:p>
      <w:pPr>
        <w:pStyle w:val="57"/>
        <w:tabs>
          <w:tab w:val="center" w:pos="4201"/>
          <w:tab w:val="right" w:leader="dot" w:pos="9298"/>
        </w:tabs>
        <w:ind w:firstLine="420"/>
        <w:rPr>
          <w:rFonts w:hAnsi="宋体" w:cs="宋体"/>
        </w:rPr>
      </w:pPr>
      <w:r>
        <w:rPr>
          <w:rFonts w:hint="eastAsia" w:hAnsi="宋体" w:cs="宋体"/>
        </w:rPr>
        <w:t>式中：</w:t>
      </w:r>
      <w:r>
        <w:rPr>
          <w:rFonts w:hAnsi="宋体" w:cs="宋体"/>
          <w:i/>
          <w:iCs/>
        </w:rPr>
        <w:t>V</w:t>
      </w:r>
      <w:r>
        <w:rPr>
          <w:rFonts w:hint="eastAsia" w:hAnsi="宋体" w:cs="宋体"/>
        </w:rPr>
        <w:t>—消耗的0.1 mol/</w:t>
      </w:r>
      <w:r>
        <w:rPr>
          <w:rFonts w:hint="eastAsia" w:hAnsi="宋体" w:cs="宋体"/>
          <w:lang w:val="en-US" w:eastAsia="zh-CN"/>
        </w:rPr>
        <w:t>l</w:t>
      </w:r>
      <w:r>
        <w:rPr>
          <w:rFonts w:hint="eastAsia" w:hAnsi="宋体" w:cs="宋体"/>
        </w:rPr>
        <w:t>氢氧化钠标准滴定溶液的体积，m</w:t>
      </w:r>
      <w:r>
        <w:rPr>
          <w:rFonts w:hint="eastAsia" w:hAnsi="宋体" w:cs="宋体"/>
          <w:lang w:val="en-US" w:eastAsia="zh-CN"/>
        </w:rPr>
        <w:t>l</w:t>
      </w:r>
      <w:r>
        <w:rPr>
          <w:rFonts w:hint="eastAsia" w:hAnsi="宋体" w:cs="宋体"/>
        </w:rPr>
        <w:t>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</w:rPr>
      </w:pPr>
      <w:r>
        <w:rPr>
          <w:rFonts w:hAnsi="宋体" w:cs="宋体"/>
          <w:i/>
          <w:iCs/>
        </w:rPr>
        <w:t>m</w:t>
      </w:r>
      <w:r>
        <w:rPr>
          <w:rFonts w:hint="eastAsia" w:hAnsi="宋体" w:cs="宋体"/>
        </w:rPr>
        <w:t>—试样的质量，g；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</w:rPr>
      </w:pPr>
      <w:r>
        <w:rPr>
          <w:rFonts w:hAnsi="宋体" w:cs="宋体"/>
          <w:i/>
          <w:iCs/>
        </w:rPr>
        <w:t>C</w:t>
      </w:r>
      <w:r>
        <w:rPr>
          <w:rFonts w:hint="eastAsia" w:hAnsi="宋体" w:cs="宋体"/>
        </w:rPr>
        <w:t>—氢氧化钠标准滴定溶液的浓度，mol/</w:t>
      </w:r>
      <w:r>
        <w:rPr>
          <w:rFonts w:hint="eastAsia" w:hAnsi="宋体" w:cs="宋体"/>
          <w:lang w:val="en-US" w:eastAsia="zh-CN"/>
        </w:rPr>
        <w:t>l</w:t>
      </w:r>
      <w:r>
        <w:rPr>
          <w:rFonts w:hint="eastAsia" w:hAnsi="宋体" w:cs="宋体"/>
        </w:rPr>
        <w:t>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szCs w:val="21"/>
        </w:rPr>
      </w:pPr>
      <w:r>
        <w:rPr>
          <w:rFonts w:hint="eastAsia"/>
          <w:i/>
          <w:iCs/>
          <w:szCs w:val="21"/>
        </w:rPr>
        <w:t>0</w:t>
      </w:r>
      <w:r>
        <w:rPr>
          <w:i/>
          <w:iCs/>
          <w:szCs w:val="21"/>
        </w:rPr>
        <w:t>.1</w:t>
      </w:r>
      <w:r>
        <w:rPr>
          <w:rFonts w:hint="eastAsia" w:hAnsi="宋体" w:cs="宋体"/>
        </w:rPr>
        <w:t>—0</w:t>
      </w:r>
      <w:r>
        <w:rPr>
          <w:rFonts w:hAnsi="宋体" w:cs="宋体"/>
        </w:rPr>
        <w:t>.1</w:t>
      </w:r>
      <w:r>
        <w:rPr>
          <w:rFonts w:hint="eastAsia" w:hAnsi="宋体" w:cs="宋体"/>
        </w:rPr>
        <w:t xml:space="preserve"> mol/</w:t>
      </w:r>
      <w:r>
        <w:rPr>
          <w:rFonts w:hAnsi="宋体" w:cs="宋体"/>
        </w:rPr>
        <w:t>L</w:t>
      </w:r>
      <w:r>
        <w:rPr>
          <w:rFonts w:hint="eastAsia" w:hAnsi="宋体" w:cs="宋体"/>
        </w:rPr>
        <w:t>氢氧化钠标准滴定溶液，将氢氧化钠标准滴定溶液的浓度换算成倍数，mol/</w:t>
      </w:r>
      <w:r>
        <w:rPr>
          <w:rFonts w:hAnsi="宋体" w:cs="宋体"/>
        </w:rPr>
        <w:t>L</w:t>
      </w:r>
      <w:r>
        <w:rPr>
          <w:rFonts w:hint="eastAsia" w:hAnsi="宋体" w:cs="宋体"/>
        </w:rPr>
        <w:t>。</w:t>
      </w:r>
    </w:p>
    <w:p>
      <w:pPr>
        <w:pStyle w:val="117"/>
        <w:widowControl/>
        <w:numPr>
          <w:ilvl w:val="1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1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2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117"/>
        <w:widowControl/>
        <w:numPr>
          <w:ilvl w:val="3"/>
          <w:numId w:val="20"/>
        </w:numPr>
        <w:spacing w:before="156" w:beforeLines="50" w:after="156" w:afterLines="50"/>
        <w:ind w:firstLineChars="0"/>
        <w:jc w:val="left"/>
        <w:outlineLvl w:val="3"/>
        <w:rPr>
          <w:rFonts w:eastAsia="黑体"/>
          <w:vanish/>
          <w:szCs w:val="20"/>
        </w:rPr>
      </w:pPr>
    </w:p>
    <w:p>
      <w:pPr>
        <w:pStyle w:val="61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  <w:kern w:val="2"/>
        </w:rPr>
      </w:pPr>
      <w:r>
        <w:rPr>
          <w:rFonts w:hint="eastAsia" w:ascii="黑体" w:hAnsi="黑体" w:cs="黑体"/>
          <w:kern w:val="2"/>
        </w:rPr>
        <w:t>6.3.5 含量的测定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bookmarkStart w:id="11" w:name="_Hlk110394152"/>
      <w:r>
        <w:rPr>
          <w:rFonts w:hint="eastAsia" w:ascii="黑体" w:hAnsi="黑体" w:cs="黑体"/>
        </w:rPr>
        <w:t>6.3.5.1 仪器和材料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气相色谱仪</w:t>
      </w:r>
      <w:r>
        <w:rPr>
          <w:rFonts w:hint="eastAsia"/>
          <w:lang w:eastAsia="zh-CN"/>
        </w:rPr>
        <w:t>：</w:t>
      </w:r>
      <w:r>
        <w:rPr>
          <w:rFonts w:hint="eastAsia"/>
        </w:rPr>
        <w:t>符合《中华人民共和国药典》（2020年版）第四部通则0</w:t>
      </w:r>
      <w:r>
        <w:t>521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气相色谱仪法要求；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液体自动进样器；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分析天平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感量</w:t>
      </w:r>
      <w:r>
        <w:rPr>
          <w:rFonts w:hint="eastAsia"/>
        </w:rPr>
        <w:t>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1</w:t>
      </w:r>
      <w:r>
        <w:t xml:space="preserve">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丙酮；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奥克立林标准品；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氦气：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氢气：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1"/>
        </w:numPr>
        <w:ind w:firstLineChars="0"/>
      </w:pPr>
      <w:r>
        <w:rPr>
          <w:rFonts w:hint="eastAsia"/>
        </w:rPr>
        <w:t>空气：经硅胶和分子筛干燥、净化。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6.3.5.2 溶液配制</w:t>
      </w:r>
    </w:p>
    <w:p>
      <w:pPr>
        <w:pStyle w:val="57"/>
        <w:numPr>
          <w:ilvl w:val="0"/>
          <w:numId w:val="22"/>
        </w:numPr>
        <w:ind w:firstLineChars="0"/>
      </w:pPr>
      <w:r>
        <w:rPr>
          <w:rFonts w:hint="eastAsia"/>
        </w:rPr>
        <w:t>标准溶液：准确称取0</w:t>
      </w:r>
      <w:r>
        <w:t>.21 g</w:t>
      </w:r>
      <w:r>
        <w:rPr>
          <w:rFonts w:hint="eastAsia"/>
        </w:rPr>
        <w:t>奥克立林标准品于1</w:t>
      </w:r>
      <w:r>
        <w:t xml:space="preserve">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容量瓶中，用丙酮溶解并定容至刻度，混匀；</w:t>
      </w:r>
    </w:p>
    <w:p>
      <w:pPr>
        <w:pStyle w:val="57"/>
        <w:numPr>
          <w:ilvl w:val="0"/>
          <w:numId w:val="22"/>
        </w:numPr>
        <w:ind w:firstLineChars="0"/>
        <w:rPr>
          <w:rFonts w:ascii="黑体" w:hAnsi="黑体" w:cs="黑体"/>
        </w:rPr>
      </w:pPr>
      <w:r>
        <w:rPr>
          <w:rFonts w:hint="eastAsia"/>
        </w:rPr>
        <w:t>样品溶液：准确称取0.21 g样品于10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容量瓶中，用丙酮溶解并定容至刻度，混匀。</w:t>
      </w:r>
    </w:p>
    <w:bookmarkEnd w:id="11"/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6.3.5.</w:t>
      </w:r>
      <w:r>
        <w:rPr>
          <w:rFonts w:ascii="黑体" w:hAnsi="黑体" w:cs="黑体"/>
        </w:rPr>
        <w:t>3</w:t>
      </w:r>
      <w:r>
        <w:rPr>
          <w:rFonts w:hint="eastAsia" w:ascii="黑体" w:hAnsi="黑体" w:cs="黑体"/>
        </w:rPr>
        <w:t xml:space="preserve"> 色谱条件</w:t>
      </w:r>
    </w:p>
    <w:p>
      <w:pPr>
        <w:pStyle w:val="101"/>
        <w:numPr>
          <w:ilvl w:val="-1"/>
          <w:numId w:val="0"/>
        </w:numPr>
        <w:ind w:left="420" w:leftChars="0" w:firstLine="0" w:firstLineChars="0"/>
        <w:rPr>
          <w:rFonts w:hint="default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见6.3.1.2.3.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6.3.5.3 系统适应性要求</w:t>
      </w:r>
    </w:p>
    <w:p>
      <w:pPr>
        <w:pStyle w:val="57"/>
        <w:numPr>
          <w:ilvl w:val="0"/>
          <w:numId w:val="23"/>
        </w:numPr>
        <w:ind w:firstLineChars="0"/>
      </w:pPr>
      <w:r>
        <w:rPr>
          <w:rFonts w:hint="eastAsia"/>
        </w:rPr>
        <w:t>标准溶液主峰与相邻峰分离度≥1.</w:t>
      </w:r>
      <w:r>
        <w:t>5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3"/>
        </w:numPr>
        <w:ind w:firstLineChars="0"/>
      </w:pPr>
      <w:r>
        <w:rPr>
          <w:rFonts w:hint="eastAsia"/>
        </w:rPr>
        <w:t>标准溶液主峰峰面积相对标准偏差（RSD%）≤2.0%。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6.3.5.4 操作过程与计算</w:t>
      </w:r>
    </w:p>
    <w:p>
      <w:pPr>
        <w:ind w:firstLine="420" w:firstLineChars="200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/>
        </w:rPr>
        <w:t>依照</w:t>
      </w:r>
      <w:r>
        <w:rPr>
          <w:rFonts w:hint="eastAsia" w:hAnsi="宋体" w:cs="宋体"/>
          <w:szCs w:val="21"/>
        </w:rPr>
        <w:t>《中华人民共和国药典》（2020年版）</w:t>
      </w:r>
      <w:r>
        <w:rPr>
          <w:rFonts w:hint="eastAsia"/>
        </w:rPr>
        <w:t>第四部</w:t>
      </w:r>
      <w:r>
        <w:t>通则</w:t>
      </w:r>
      <w:r>
        <w:rPr>
          <w:rFonts w:hint="eastAsia" w:ascii="宋体" w:hAnsi="宋体" w:cs="宋体"/>
        </w:rPr>
        <w:t>05</w:t>
      </w:r>
      <w:r>
        <w:rPr>
          <w:rFonts w:ascii="宋体" w:hAnsi="宋体" w:cs="宋体"/>
        </w:rPr>
        <w:t>21</w:t>
      </w:r>
      <w:r>
        <w:rPr>
          <w:rFonts w:hint="eastAsia"/>
        </w:rPr>
        <w:t>气相色谱法</w:t>
      </w:r>
      <w:r>
        <w:t>执行</w:t>
      </w:r>
      <w:r>
        <w:rPr>
          <w:rFonts w:hint="eastAsia" w:ascii="宋体" w:hAnsi="宋体" w:cs="宋体"/>
          <w:kern w:val="0"/>
          <w:szCs w:val="21"/>
          <w:lang w:val="zh-CN"/>
        </w:rPr>
        <w:t>进样，用公式（</w:t>
      </w:r>
      <w:r>
        <w:rPr>
          <w:rFonts w:ascii="宋体" w:hAnsi="宋体" w:cs="宋体"/>
          <w:kern w:val="0"/>
          <w:szCs w:val="21"/>
          <w:lang w:val="zh-CN"/>
        </w:rPr>
        <w:t>5</w:t>
      </w:r>
      <w:r>
        <w:rPr>
          <w:rFonts w:hint="eastAsia" w:ascii="宋体" w:hAnsi="宋体" w:cs="宋体"/>
          <w:kern w:val="0"/>
          <w:szCs w:val="21"/>
          <w:lang w:val="zh-CN"/>
        </w:rPr>
        <w:t>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计算</w:t>
      </w:r>
      <w:r>
        <w:rPr>
          <w:rFonts w:hint="eastAsia" w:ascii="宋体" w:hAnsi="宋体" w:cs="宋体"/>
          <w:kern w:val="0"/>
          <w:szCs w:val="21"/>
          <w:lang w:val="zh-CN"/>
        </w:rPr>
        <w:t>含量：</w:t>
      </w:r>
    </w:p>
    <w:p>
      <w:pPr>
        <w:ind w:firstLine="3990" w:firstLineChars="1900"/>
        <w:jc w:val="left"/>
        <w:rPr>
          <w:rFonts w:ascii="宋体" w:hAnsi="宋体" w:cs="宋体"/>
          <w:szCs w:val="21"/>
        </w:rPr>
      </w:pPr>
      <m:oMath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m:rPr/>
              <w:rPr>
                <w:rFonts w:hint="eastAsia" w:ascii="Cambria Math" w:hAnsi="Cambria Math" w:cs="宋体"/>
                <w:szCs w:val="21"/>
              </w:rPr>
              <m:t>X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e>
          <m:sub>
            <m:r>
              <m:rPr/>
              <w:rPr>
                <w:rFonts w:hint="eastAsia" w:ascii="Cambria Math" w:hAnsi="Cambria Math" w:cs="宋体"/>
                <w:szCs w:val="21"/>
              </w:rPr>
              <m:t>u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sub>
        </m:sSub>
        <m:r>
          <m:rPr/>
          <w:rPr>
            <w:rFonts w:ascii="Cambria Math" w:hAnsi="Cambria Math" w:cs="宋体"/>
            <w:szCs w:val="21"/>
          </w:rPr>
          <m:t>=</m:t>
        </m:r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cs="宋体"/>
                    <w:szCs w:val="21"/>
                  </w:rPr>
                  <m:t>u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cs="宋体"/>
                    <w:szCs w:val="21"/>
                  </w:rPr>
                  <m:t>s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</m:t>
        </m:r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C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s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C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ascii="Cambria Math" w:hAnsi="Cambria Math" w:cs="宋体"/>
                    <w:szCs w:val="21"/>
                  </w:rPr>
                  <m:t>u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</m:t>
        </m:r>
        <m:sSub>
          <m:sSubPr>
            <m:ctrlPr>
              <w:rPr>
                <w:rFonts w:ascii="Cambria Math" w:hAnsi="Cambria Math" w:cs="宋体"/>
                <w:i/>
                <w:szCs w:val="21"/>
              </w:rPr>
            </m:ctrlPr>
          </m:sSubPr>
          <m:e>
            <m:r>
              <m:rPr/>
              <w:rPr>
                <w:rFonts w:ascii="Cambria Math" w:hAnsi="Cambria Math" w:cs="宋体"/>
                <w:szCs w:val="21"/>
              </w:rPr>
              <m:t>X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e>
          <m:sub>
            <m:r>
              <m:rPr/>
              <w:rPr>
                <w:rFonts w:ascii="Cambria Math" w:hAnsi="Cambria Math" w:cs="宋体"/>
                <w:szCs w:val="21"/>
              </w:rPr>
              <m:t>s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sub>
        </m:sSub>
      </m:oMath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          </w:t>
      </w:r>
      <w:r>
        <w:rPr>
          <w:rFonts w:hint="eastAsia" w:ascii="宋体" w:hAnsi="宋体" w:cs="宋体"/>
          <w:szCs w:val="21"/>
        </w:rPr>
        <w:t>公式（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）</w:t>
      </w:r>
    </w:p>
    <w:p>
      <w:pPr>
        <w:ind w:firstLine="420" w:firstLineChars="200"/>
        <w:jc w:val="left"/>
        <w:rPr>
          <w:rFonts w:hAnsi="宋体" w:cs="宋体"/>
          <w:szCs w:val="21"/>
        </w:rPr>
      </w:pPr>
      <w:r>
        <w:rPr>
          <w:rFonts w:hint="eastAsia" w:ascii="宋体" w:hAnsi="宋体" w:cs="宋体"/>
          <w:szCs w:val="21"/>
        </w:rPr>
        <w:t>式中：</w:t>
      </w:r>
      <w:r>
        <w:rPr>
          <w:rFonts w:hAnsi="宋体" w:cs="宋体"/>
          <w:i/>
          <w:iCs/>
          <w:szCs w:val="21"/>
        </w:rPr>
        <w:t>X</w:t>
      </w:r>
      <w:r>
        <w:rPr>
          <w:rFonts w:hAnsi="宋体" w:cs="宋体"/>
          <w:i/>
          <w:iCs/>
          <w:szCs w:val="21"/>
          <w:vertAlign w:val="subscript"/>
        </w:rPr>
        <w:t>u</w:t>
      </w:r>
      <w:r>
        <w:rPr>
          <w:rFonts w:hint="eastAsia" w:hAnsi="宋体" w:cs="宋体"/>
          <w:szCs w:val="21"/>
        </w:rPr>
        <w:t>－样品的含量，%；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Ansi="宋体" w:cs="宋体"/>
          <w:i/>
          <w:iCs/>
          <w:kern w:val="2"/>
          <w:szCs w:val="21"/>
        </w:rPr>
        <w:t>R</w:t>
      </w:r>
      <w:r>
        <w:rPr>
          <w:rFonts w:hAnsi="宋体" w:cs="宋体"/>
          <w:i/>
          <w:iCs/>
          <w:kern w:val="2"/>
          <w:szCs w:val="21"/>
          <w:vertAlign w:val="subscript"/>
        </w:rPr>
        <w:t>u</w:t>
      </w:r>
      <w:r>
        <w:rPr>
          <w:rFonts w:hint="eastAsia" w:hAnsi="宋体" w:cs="宋体"/>
          <w:kern w:val="2"/>
          <w:szCs w:val="21"/>
        </w:rPr>
        <w:t>－样品溶液中主峰峰面积；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Ansi="宋体" w:cs="宋体"/>
          <w:i/>
          <w:iCs/>
          <w:kern w:val="2"/>
          <w:szCs w:val="21"/>
        </w:rPr>
        <w:t>R</w:t>
      </w:r>
      <w:r>
        <w:rPr>
          <w:rFonts w:hAnsi="宋体" w:cs="宋体"/>
          <w:i/>
          <w:iCs/>
          <w:kern w:val="2"/>
          <w:szCs w:val="21"/>
          <w:vertAlign w:val="subscript"/>
        </w:rPr>
        <w:t>s</w:t>
      </w:r>
      <w:r>
        <w:rPr>
          <w:rFonts w:hint="eastAsia" w:hAnsi="宋体" w:cs="宋体"/>
          <w:kern w:val="2"/>
          <w:szCs w:val="21"/>
        </w:rPr>
        <w:t>－标准溶液中主峰峰面积；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C</w:t>
      </w:r>
      <w:r>
        <w:rPr>
          <w:rFonts w:hAnsi="宋体" w:cs="宋体"/>
          <w:i/>
          <w:iCs/>
          <w:kern w:val="2"/>
          <w:szCs w:val="21"/>
          <w:vertAlign w:val="subscript"/>
        </w:rPr>
        <w:t>s</w:t>
      </w:r>
      <w:r>
        <w:rPr>
          <w:rFonts w:hint="eastAsia" w:hAnsi="宋体" w:cs="宋体"/>
          <w:kern w:val="2"/>
          <w:szCs w:val="21"/>
        </w:rPr>
        <w:t>－标准溶液浓度，mg/</w:t>
      </w:r>
      <w:r>
        <w:rPr>
          <w:rFonts w:hAnsi="宋体" w:cs="宋体"/>
          <w:kern w:val="2"/>
          <w:szCs w:val="21"/>
        </w:rPr>
        <w:t>m</w:t>
      </w:r>
      <w:r>
        <w:rPr>
          <w:rFonts w:hint="eastAsia" w:hAnsi="宋体" w:cs="宋体"/>
          <w:kern w:val="2"/>
          <w:szCs w:val="21"/>
          <w:lang w:val="en-US" w:eastAsia="zh-CN"/>
        </w:rPr>
        <w:t>l</w:t>
      </w:r>
      <w:r>
        <w:rPr>
          <w:rFonts w:hint="eastAsia" w:hAnsi="宋体" w:cs="宋体"/>
          <w:kern w:val="2"/>
          <w:szCs w:val="21"/>
        </w:rPr>
        <w:t>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C</w:t>
      </w:r>
      <w:r>
        <w:rPr>
          <w:rFonts w:hAnsi="宋体" w:cs="宋体"/>
          <w:i/>
          <w:iCs/>
          <w:kern w:val="2"/>
          <w:szCs w:val="21"/>
          <w:vertAlign w:val="subscript"/>
        </w:rPr>
        <w:t>u</w:t>
      </w:r>
      <w:r>
        <w:rPr>
          <w:rFonts w:hint="eastAsia" w:hAnsi="宋体" w:cs="宋体"/>
          <w:kern w:val="2"/>
          <w:szCs w:val="21"/>
        </w:rPr>
        <w:t>－样品溶液浓度，mg/</w:t>
      </w:r>
      <w:r>
        <w:rPr>
          <w:rFonts w:hAnsi="宋体" w:cs="宋体"/>
          <w:kern w:val="2"/>
          <w:szCs w:val="21"/>
        </w:rPr>
        <w:t>m</w:t>
      </w:r>
      <w:r>
        <w:rPr>
          <w:rFonts w:hint="eastAsia" w:hAnsi="宋体" w:cs="宋体"/>
          <w:kern w:val="2"/>
          <w:szCs w:val="21"/>
          <w:lang w:val="en-US" w:eastAsia="zh-CN"/>
        </w:rPr>
        <w:t>l</w:t>
      </w:r>
      <w:r>
        <w:rPr>
          <w:rFonts w:hAnsi="宋体" w:cs="宋体"/>
          <w:kern w:val="2"/>
          <w:szCs w:val="21"/>
        </w:rPr>
        <w:t>;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Ansi="宋体" w:cs="宋体"/>
          <w:i/>
          <w:iCs/>
          <w:kern w:val="2"/>
          <w:szCs w:val="21"/>
        </w:rPr>
        <w:t>X</w:t>
      </w:r>
      <w:r>
        <w:rPr>
          <w:rFonts w:hAnsi="宋体" w:cs="宋体"/>
          <w:i/>
          <w:iCs/>
          <w:kern w:val="2"/>
          <w:szCs w:val="21"/>
          <w:vertAlign w:val="subscript"/>
        </w:rPr>
        <w:t>s</w:t>
      </w:r>
      <w:r>
        <w:rPr>
          <w:rFonts w:hint="eastAsia" w:hAnsi="宋体" w:cs="宋体"/>
          <w:kern w:val="2"/>
          <w:szCs w:val="21"/>
        </w:rPr>
        <w:t>－标准品的含量，%。</w:t>
      </w:r>
    </w:p>
    <w:p>
      <w:pPr>
        <w:pStyle w:val="61"/>
        <w:numPr>
          <w:ilvl w:val="3"/>
          <w:numId w:val="0"/>
        </w:numPr>
        <w:spacing w:before="156" w:beforeLines="50" w:after="156" w:afterLines="50"/>
        <w:rPr>
          <w:rFonts w:ascii="黑体" w:hAnsi="黑体" w:cs="黑体"/>
          <w:kern w:val="2"/>
        </w:rPr>
      </w:pPr>
      <w:r>
        <w:rPr>
          <w:rFonts w:ascii="黑体" w:hAnsi="黑体" w:cs="黑体"/>
          <w:kern w:val="2"/>
        </w:rPr>
        <w:t xml:space="preserve">6.3.6 </w:t>
      </w:r>
      <w:r>
        <w:rPr>
          <w:rFonts w:hint="eastAsia" w:ascii="黑体" w:hAnsi="黑体" w:cs="黑体"/>
          <w:kern w:val="2"/>
        </w:rPr>
        <w:t>杂质测定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6</w:t>
      </w:r>
      <w:r>
        <w:rPr>
          <w:rFonts w:hint="eastAsia" w:ascii="黑体" w:hAnsi="黑体" w:cs="黑体"/>
        </w:rPr>
        <w:t>.1 仪器和材料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气相色谱仪，符合《中华人民共和国药典》（2020年版）第四部通则0</w:t>
      </w:r>
      <w:r>
        <w:t>521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气相色谱仪法要求；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液体自动进样器；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分析天平，0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1</w:t>
      </w:r>
      <w:r>
        <w:t xml:space="preserve">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丙酮；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氦气：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氢气：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4"/>
        </w:numPr>
        <w:ind w:left="840" w:hanging="420" w:firstLineChars="0"/>
      </w:pPr>
      <w:r>
        <w:rPr>
          <w:rFonts w:hint="eastAsia"/>
        </w:rPr>
        <w:t>空气：经硅胶和分子筛干燥、净化。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6</w:t>
      </w:r>
      <w:r>
        <w:rPr>
          <w:rFonts w:hint="eastAsia" w:ascii="黑体" w:hAnsi="黑体" w:cs="黑体"/>
        </w:rPr>
        <w:t xml:space="preserve">.2 </w:t>
      </w:r>
      <w:r>
        <w:rPr>
          <w:rFonts w:hint="eastAsia" w:ascii="黑体" w:hAnsi="黑体" w:cs="黑体"/>
          <w:lang w:val="en-US" w:eastAsia="zh-CN"/>
        </w:rPr>
        <w:t>样品</w:t>
      </w:r>
      <w:r>
        <w:rPr>
          <w:rFonts w:hint="eastAsia" w:ascii="黑体" w:hAnsi="黑体" w:cs="黑体"/>
        </w:rPr>
        <w:t>溶液配制</w:t>
      </w:r>
    </w:p>
    <w:p>
      <w:pPr>
        <w:pStyle w:val="57"/>
        <w:numPr>
          <w:ilvl w:val="-1"/>
          <w:numId w:val="0"/>
        </w:numPr>
        <w:ind w:left="420" w:firstLine="0" w:firstLineChars="0"/>
      </w:pPr>
      <w:r>
        <w:rPr>
          <w:rFonts w:hint="eastAsia"/>
        </w:rPr>
        <w:t>准确称取0.21 g样品于10 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容量瓶中，用丙酮溶解并定容至刻度，混匀。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6</w:t>
      </w:r>
      <w:r>
        <w:rPr>
          <w:rFonts w:hint="eastAsia" w:ascii="黑体" w:hAnsi="黑体" w:cs="黑体"/>
        </w:rPr>
        <w:t>.</w:t>
      </w:r>
      <w:r>
        <w:rPr>
          <w:rFonts w:ascii="黑体" w:hAnsi="黑体" w:cs="黑体"/>
        </w:rPr>
        <w:t>3</w:t>
      </w:r>
      <w:r>
        <w:rPr>
          <w:rFonts w:hint="eastAsia" w:ascii="黑体" w:hAnsi="黑体" w:cs="黑体"/>
        </w:rPr>
        <w:t xml:space="preserve"> 色谱条件</w:t>
      </w:r>
    </w:p>
    <w:p>
      <w:pPr>
        <w:pStyle w:val="57"/>
        <w:ind w:firstLine="420"/>
        <w:rPr>
          <w:rFonts w:ascii="黑体" w:hAnsi="黑体" w:cs="黑体"/>
        </w:rPr>
      </w:pPr>
      <w:bookmarkStart w:id="12" w:name="_Hlk110386865"/>
      <w:r>
        <w:rPr>
          <w:rFonts w:hint="eastAsia"/>
        </w:rPr>
        <w:t>见6</w:t>
      </w:r>
      <w:r>
        <w:t>.</w:t>
      </w:r>
      <w:r>
        <w:rPr>
          <w:rFonts w:hint="eastAsia"/>
          <w:lang w:val="en-US" w:eastAsia="zh-CN"/>
        </w:rPr>
        <w:t>3.1.2.3</w:t>
      </w:r>
      <w:r>
        <w:rPr>
          <w:rFonts w:hint="eastAsia"/>
        </w:rPr>
        <w:t>。</w:t>
      </w:r>
      <w:bookmarkEnd w:id="12"/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6</w:t>
      </w:r>
      <w:r>
        <w:rPr>
          <w:rFonts w:hint="eastAsia" w:ascii="黑体" w:hAnsi="黑体" w:cs="黑体"/>
        </w:rPr>
        <w:t>.</w:t>
      </w:r>
      <w:r>
        <w:rPr>
          <w:rFonts w:ascii="黑体" w:hAnsi="黑体" w:cs="黑体"/>
        </w:rPr>
        <w:t>4</w:t>
      </w:r>
      <w:r>
        <w:rPr>
          <w:rFonts w:hint="eastAsia" w:ascii="黑体" w:hAnsi="黑体" w:cs="黑体"/>
        </w:rPr>
        <w:t xml:space="preserve"> 操作过程</w:t>
      </w:r>
    </w:p>
    <w:p>
      <w:pPr>
        <w:pStyle w:val="57"/>
        <w:ind w:firstLine="420"/>
      </w:pPr>
      <w:r>
        <w:rPr>
          <w:rFonts w:hint="eastAsia"/>
        </w:rPr>
        <w:t>按照“6.3.5 含量测定”进行操作，</w:t>
      </w:r>
      <w:bookmarkStart w:id="13" w:name="_Hlk110386982"/>
      <w:r>
        <w:rPr>
          <w:rFonts w:hint="eastAsia"/>
        </w:rPr>
        <w:t>记录样品溶液中单个最大杂质和总杂质的峰面积，</w:t>
      </w:r>
      <w:bookmarkEnd w:id="13"/>
      <w:r>
        <w:rPr>
          <w:rFonts w:hint="eastAsia"/>
        </w:rPr>
        <w:t>用面积归一法公式（</w:t>
      </w:r>
      <w:r>
        <w:t>6</w:t>
      </w:r>
      <w:r>
        <w:rPr>
          <w:rFonts w:hint="eastAsia"/>
        </w:rPr>
        <w:t>）计算杂质含量：</w:t>
      </w:r>
    </w:p>
    <w:p>
      <w:pPr>
        <w:ind w:firstLine="4410" w:firstLineChars="2100"/>
        <w:jc w:val="left"/>
        <w:rPr>
          <w:rFonts w:ascii="宋体" w:hAnsi="宋体" w:cs="宋体"/>
          <w:szCs w:val="21"/>
        </w:rPr>
      </w:pPr>
      <m:oMath>
        <m:f>
          <w:bookmarkStart w:id="14" w:name="_Hlk102398531"/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U</m:t>
                </m:r>
                <m:r>
                  <m:rPr/>
                  <w:rPr>
                    <w:rFonts w:hint="eastAsia" w:ascii="Cambria Math" w:hAnsi="Cambria Math" w:cs="宋体"/>
                    <w:szCs w:val="21"/>
                    <w:lang w:val="en-US" w:eastAsia="zh-CN"/>
                  </w:rPr>
                  <m:t>杂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T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×100%</m:t>
        </m:r>
      </m:oMath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           </w:t>
      </w:r>
      <w:r>
        <w:rPr>
          <w:rFonts w:hint="eastAsia" w:ascii="宋体" w:hAnsi="宋体" w:cs="宋体"/>
          <w:szCs w:val="21"/>
        </w:rPr>
        <w:t>公式（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）</w:t>
      </w:r>
    </w:p>
    <w:bookmarkEnd w:id="14"/>
    <w:p>
      <w:pPr>
        <w:ind w:firstLine="420" w:firstLineChars="200"/>
        <w:jc w:val="left"/>
        <w:rPr>
          <w:rFonts w:hAnsi="宋体" w:cs="宋体"/>
          <w:szCs w:val="21"/>
        </w:rPr>
      </w:pPr>
      <w:r>
        <w:rPr>
          <w:rFonts w:hint="eastAsia" w:ascii="宋体" w:hAnsi="宋体" w:cs="宋体"/>
          <w:szCs w:val="21"/>
        </w:rPr>
        <w:t>式中：</w:t>
      </w:r>
      <w:r>
        <w:rPr>
          <w:rFonts w:hint="eastAsia" w:ascii="宋体" w:hAnsi="宋体" w:cs="宋体"/>
          <w:i/>
          <w:iCs/>
          <w:szCs w:val="21"/>
        </w:rPr>
        <w:t>R</w:t>
      </w:r>
      <w:r>
        <w:rPr>
          <w:rFonts w:hint="eastAsia" w:ascii="宋体" w:hAnsi="宋体" w:cs="宋体"/>
          <w:i/>
          <w:iCs/>
          <w:szCs w:val="21"/>
          <w:vertAlign w:val="subscript"/>
        </w:rPr>
        <w:t>U</w:t>
      </w:r>
      <w:r>
        <w:rPr>
          <w:rFonts w:hint="eastAsia" w:ascii="宋体" w:hAnsi="宋体" w:cs="宋体"/>
          <w:i/>
          <w:iCs/>
          <w:szCs w:val="21"/>
          <w:vertAlign w:val="subscript"/>
          <w:lang w:val="en-US" w:eastAsia="zh-CN"/>
        </w:rPr>
        <w:t>杂</w:t>
      </w:r>
      <w:r>
        <w:rPr>
          <w:rFonts w:hint="eastAsia" w:hAnsi="宋体" w:cs="宋体"/>
          <w:szCs w:val="21"/>
        </w:rPr>
        <w:t>－样品溶液中单个最大杂质或总杂质峰面积；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R</w:t>
      </w:r>
      <w:r>
        <w:rPr>
          <w:rFonts w:hint="eastAsia" w:hAnsi="宋体" w:cs="宋体"/>
          <w:i/>
          <w:iCs/>
          <w:kern w:val="2"/>
          <w:szCs w:val="21"/>
          <w:vertAlign w:val="subscript"/>
        </w:rPr>
        <w:t>T</w:t>
      </w:r>
      <w:r>
        <w:rPr>
          <w:rFonts w:hint="eastAsia" w:hAnsi="宋体" w:cs="宋体"/>
          <w:kern w:val="2"/>
          <w:szCs w:val="21"/>
        </w:rPr>
        <w:t>－样品溶液中所有峰峰面积总和。</w:t>
      </w:r>
    </w:p>
    <w:p>
      <w:pPr>
        <w:pStyle w:val="61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  <w:kern w:val="2"/>
        </w:rPr>
      </w:pPr>
      <w:r>
        <w:rPr>
          <w:rFonts w:hint="eastAsia" w:ascii="黑体" w:hAnsi="黑体" w:cs="黑体"/>
          <w:kern w:val="2"/>
        </w:rPr>
        <w:t>6.3.7 二苯甲酮测定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hint="eastAsia" w:ascii="黑体" w:hAnsi="黑体" w:cs="黑体"/>
          <w:lang w:val="en-US" w:eastAsia="zh-CN"/>
        </w:rPr>
        <w:t>7</w:t>
      </w:r>
      <w:r>
        <w:rPr>
          <w:rFonts w:hint="eastAsia" w:ascii="黑体" w:hAnsi="黑体" w:cs="黑体"/>
        </w:rPr>
        <w:t>.1 仪器和材料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气相色谱仪，符合《中华人民共和国药典》（2020年版）第四部通则0</w:t>
      </w:r>
      <w:r>
        <w:t>521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气相色谱仪法要求；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液体自动进样器；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分析天平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感量</w:t>
      </w:r>
      <w:r>
        <w:rPr>
          <w:rFonts w:hint="eastAsia"/>
        </w:rPr>
        <w:t>0</w:t>
      </w:r>
      <w:r>
        <w:t xml:space="preserve">.1 </w:t>
      </w:r>
      <w:r>
        <w:rPr>
          <w:rFonts w:hint="eastAsia"/>
        </w:rPr>
        <w:t>mg；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1</w:t>
      </w:r>
      <w:r>
        <w:t xml:space="preserve">00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容量瓶；</w:t>
      </w:r>
    </w:p>
    <w:p>
      <w:pPr>
        <w:pStyle w:val="57"/>
        <w:numPr>
          <w:ilvl w:val="0"/>
          <w:numId w:val="25"/>
        </w:numPr>
        <w:ind w:firstLineChars="0"/>
      </w:pPr>
      <w:r>
        <w:rPr>
          <w:rFonts w:hint="eastAsia"/>
        </w:rPr>
        <w:t>丙酮；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二苯甲酮</w:t>
      </w:r>
      <w:r>
        <w:rPr>
          <w:rFonts w:hint="eastAsia"/>
          <w:lang w:val="en-US" w:eastAsia="zh-CN"/>
        </w:rPr>
        <w:t>标准品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氦气：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氢气：</w:t>
      </w:r>
      <w:r>
        <w:t>体积分数不小于99.999%的高纯气体</w:t>
      </w:r>
      <w:r>
        <w:rPr>
          <w:rFonts w:hint="eastAsia"/>
        </w:rPr>
        <w:t>；</w:t>
      </w:r>
    </w:p>
    <w:p>
      <w:pPr>
        <w:pStyle w:val="57"/>
        <w:numPr>
          <w:ilvl w:val="0"/>
          <w:numId w:val="25"/>
        </w:numPr>
        <w:ind w:left="840" w:hanging="420" w:firstLineChars="0"/>
      </w:pPr>
      <w:r>
        <w:rPr>
          <w:rFonts w:hint="eastAsia"/>
        </w:rPr>
        <w:t>空气：经硅胶和分子筛干燥、净化。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hint="eastAsia" w:ascii="黑体" w:hAnsi="黑体" w:cs="黑体"/>
          <w:lang w:val="en-US" w:eastAsia="zh-CN"/>
        </w:rPr>
        <w:t>7</w:t>
      </w:r>
      <w:r>
        <w:rPr>
          <w:rFonts w:hint="eastAsia" w:ascii="黑体" w:hAnsi="黑体" w:cs="黑体"/>
        </w:rPr>
        <w:t xml:space="preserve">.2 </w:t>
      </w:r>
      <w:r>
        <w:rPr>
          <w:rFonts w:hint="eastAsia" w:ascii="黑体" w:hAnsi="黑体" w:cs="黑体"/>
          <w:lang w:val="en-US" w:eastAsia="zh-CN"/>
        </w:rPr>
        <w:t>标准</w:t>
      </w:r>
      <w:r>
        <w:rPr>
          <w:rFonts w:hint="eastAsia" w:ascii="黑体" w:hAnsi="黑体" w:cs="黑体"/>
        </w:rPr>
        <w:t>溶液配制</w:t>
      </w:r>
    </w:p>
    <w:p>
      <w:pPr>
        <w:pStyle w:val="57"/>
        <w:numPr>
          <w:ilvl w:val="-1"/>
          <w:numId w:val="0"/>
        </w:numPr>
        <w:ind w:left="420" w:firstLine="0" w:firstLineChars="0"/>
      </w:pPr>
      <w:r>
        <w:rPr>
          <w:rFonts w:hint="eastAsia"/>
        </w:rPr>
        <w:t>准确称取0.05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g二苯甲酮标准品至100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容量瓶中，用丙酮定容至刻度，混匀。</w:t>
      </w:r>
    </w:p>
    <w:p>
      <w:pPr>
        <w:pStyle w:val="64"/>
        <w:numPr>
          <w:ilvl w:val="255"/>
          <w:numId w:val="0"/>
        </w:numPr>
        <w:spacing w:before="156" w:beforeLines="50" w:after="156" w:afterLines="50"/>
        <w:rPr>
          <w:rFonts w:ascii="黑体" w:hAnsi="黑体" w:cs="黑体"/>
        </w:rPr>
      </w:pPr>
      <w:r>
        <w:rPr>
          <w:rFonts w:hint="eastAsia" w:ascii="黑体" w:hAnsi="黑体" w:cs="黑体"/>
        </w:rPr>
        <w:t>6.3.</w:t>
      </w:r>
      <w:r>
        <w:rPr>
          <w:rFonts w:ascii="黑体" w:hAnsi="黑体" w:cs="黑体"/>
        </w:rPr>
        <w:t>6</w:t>
      </w:r>
      <w:r>
        <w:rPr>
          <w:rFonts w:hint="eastAsia" w:ascii="黑体" w:hAnsi="黑体" w:cs="黑体"/>
        </w:rPr>
        <w:t>.</w:t>
      </w:r>
      <w:r>
        <w:rPr>
          <w:rFonts w:ascii="黑体" w:hAnsi="黑体" w:cs="黑体"/>
        </w:rPr>
        <w:t>3</w:t>
      </w:r>
      <w:r>
        <w:rPr>
          <w:rFonts w:hint="eastAsia" w:ascii="黑体" w:hAnsi="黑体" w:cs="黑体"/>
        </w:rPr>
        <w:t xml:space="preserve"> 色谱条件</w:t>
      </w:r>
    </w:p>
    <w:p>
      <w:pPr>
        <w:pStyle w:val="57"/>
        <w:ind w:firstLine="420"/>
      </w:pPr>
      <w:r>
        <w:rPr>
          <w:rFonts w:hint="eastAsia"/>
        </w:rPr>
        <w:t>见6</w:t>
      </w:r>
      <w:r>
        <w:t>.3.</w:t>
      </w:r>
      <w:r>
        <w:rPr>
          <w:rFonts w:hint="eastAsia"/>
          <w:lang w:val="en-US" w:eastAsia="zh-CN"/>
        </w:rPr>
        <w:t>1</w:t>
      </w:r>
      <w:r>
        <w:t>.2</w:t>
      </w:r>
      <w:r>
        <w:rPr>
          <w:rFonts w:hint="eastAsia"/>
          <w:lang w:val="en-US" w:eastAsia="zh-CN"/>
        </w:rPr>
        <w:t>.3</w:t>
      </w:r>
      <w:r>
        <w:rPr>
          <w:rFonts w:hint="eastAsia"/>
        </w:rPr>
        <w:t>。</w:t>
      </w:r>
    </w:p>
    <w:p>
      <w:pPr>
        <w:pStyle w:val="61"/>
        <w:numPr>
          <w:ilvl w:val="255"/>
          <w:numId w:val="0"/>
        </w:numPr>
        <w:spacing w:before="156" w:beforeLines="50"/>
        <w:rPr>
          <w:rFonts w:ascii="黑体" w:hAnsi="黑体" w:cs="黑体"/>
          <w:kern w:val="2"/>
        </w:rPr>
      </w:pPr>
      <w:r>
        <w:rPr>
          <w:rFonts w:hint="eastAsia" w:ascii="黑体" w:hAnsi="黑体" w:cs="黑体"/>
          <w:kern w:val="2"/>
        </w:rPr>
        <w:t>6.3.7.2 操作过程及计算</w:t>
      </w:r>
    </w:p>
    <w:p>
      <w:pPr>
        <w:pStyle w:val="61"/>
        <w:numPr>
          <w:ilvl w:val="3"/>
          <w:numId w:val="0"/>
        </w:numPr>
        <w:spacing w:before="156" w:beforeLines="50" w:after="156" w:afterLines="50"/>
        <w:ind w:firstLine="420" w:firstLineChars="200"/>
        <w:rPr>
          <w:rFonts w:ascii="宋体" w:eastAsia="宋体"/>
        </w:rPr>
      </w:pPr>
      <w:r>
        <w:rPr>
          <w:rFonts w:hint="eastAsia" w:ascii="宋体" w:eastAsia="宋体"/>
        </w:rPr>
        <w:t>在“6.3.5 含量测定”检测完成后，进一针二苯甲酮标准溶液（500</w:t>
      </w:r>
      <w:r>
        <w:rPr>
          <w:rFonts w:hint="eastAsia" w:ascii="宋体" w:eastAsia="宋体"/>
          <w:lang w:val="en-US" w:eastAsia="zh-CN"/>
        </w:rPr>
        <w:t xml:space="preserve"> μ</w:t>
      </w:r>
      <w:r>
        <w:rPr>
          <w:rFonts w:hint="eastAsia" w:ascii="宋体" w:eastAsia="宋体"/>
        </w:rPr>
        <w:t>g/m</w:t>
      </w:r>
      <w:r>
        <w:rPr>
          <w:rFonts w:hint="eastAsia" w:ascii="宋体" w:eastAsia="宋体"/>
          <w:lang w:val="en-US" w:eastAsia="zh-CN"/>
        </w:rPr>
        <w:t>l</w:t>
      </w:r>
      <w:r>
        <w:rPr>
          <w:rFonts w:hint="eastAsia" w:ascii="宋体" w:eastAsia="宋体"/>
        </w:rPr>
        <w:t>丙酮溶液），确定二苯甲酮的保留时间，记录“6.3.5 含量测定”样品溶液中的二苯甲酮峰面积，用面积归一法公式（</w:t>
      </w:r>
      <w:r>
        <w:rPr>
          <w:rFonts w:ascii="宋体" w:eastAsia="宋体"/>
        </w:rPr>
        <w:t>7</w:t>
      </w:r>
      <w:r>
        <w:rPr>
          <w:rFonts w:hint="eastAsia" w:ascii="宋体" w:eastAsia="宋体"/>
        </w:rPr>
        <w:t>）计算样品中二苯甲酮含量：</w:t>
      </w:r>
    </w:p>
    <w:p>
      <w:pPr>
        <w:ind w:firstLine="4200" w:firstLineChars="2000"/>
        <w:jc w:val="left"/>
        <w:rPr>
          <w:rFonts w:ascii="宋体" w:hAnsi="宋体" w:cs="宋体"/>
          <w:szCs w:val="21"/>
        </w:rPr>
      </w:pPr>
      <m:oMath>
        <m:f>
          <m:fPr>
            <m:ctrlPr>
              <w:rPr>
                <w:rFonts w:ascii="Cambria Math" w:hAnsi="Cambria Math" w:cs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U</m:t>
                </m:r>
                <m:r>
                  <m:rPr/>
                  <w:rPr>
                    <w:rFonts w:hint="eastAsia" w:ascii="Cambria Math" w:hAnsi="Cambria Math" w:cs="宋体"/>
                    <w:szCs w:val="21"/>
                    <w:lang w:val="en-US" w:eastAsia="zh-CN"/>
                  </w:rPr>
                  <m:t>二苯甲酮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SubPr>
              <m:e>
                <m:r>
                  <m:rPr/>
                  <w:rPr>
                    <w:rFonts w:ascii="Cambria Math" w:hAnsi="Cambria Math" w:cs="宋体"/>
                    <w:szCs w:val="21"/>
                  </w:rPr>
                  <m:t>R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e>
              <m:sub>
                <m:r>
                  <m:rPr/>
                  <w:rPr>
                    <w:rFonts w:hint="eastAsia" w:ascii="Cambria Math" w:hAnsi="Cambria Math" w:cs="宋体"/>
                    <w:szCs w:val="21"/>
                  </w:rPr>
                  <m:t>T</m:t>
                </m:r>
                <m:ctrlPr>
                  <w:rPr>
                    <w:rFonts w:ascii="Cambria Math" w:hAnsi="Cambria Math" w:cs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szCs w:val="21"/>
              </w:rPr>
            </m:ctrlPr>
          </m:den>
        </m:f>
        <m:r>
          <m:rPr/>
          <w:rPr>
            <w:rFonts w:ascii="Cambria Math" w:hAnsi="Cambria Math" w:cs="宋体"/>
            <w:szCs w:val="21"/>
          </w:rPr>
          <m:t>×</m:t>
        </m:r>
        <m:sSup>
          <m:sSupPr>
            <m:ctrlPr>
              <w:rPr>
                <w:rFonts w:ascii="Cambria Math" w:hAnsi="Cambria Math" w:cs="宋体"/>
                <w:i/>
                <w:szCs w:val="21"/>
              </w:rPr>
            </m:ctrlPr>
          </m:sSupPr>
          <m:e>
            <m:r>
              <m:rPr/>
              <w:rPr>
                <w:rFonts w:ascii="Cambria Math" w:hAnsi="Cambria Math" w:cs="宋体"/>
                <w:szCs w:val="21"/>
              </w:rPr>
              <m:t>10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e>
          <m:sup>
            <m:r>
              <m:rPr/>
              <w:rPr>
                <w:rFonts w:ascii="Cambria Math" w:hAnsi="Cambria Math" w:cs="宋体"/>
                <w:szCs w:val="21"/>
              </w:rPr>
              <m:t>6</m:t>
            </m:r>
            <m:ctrlPr>
              <w:rPr>
                <w:rFonts w:ascii="Cambria Math" w:hAnsi="Cambria Math" w:cs="宋体"/>
                <w:i/>
                <w:szCs w:val="21"/>
              </w:rPr>
            </m:ctrlPr>
          </m:sup>
        </m:sSup>
      </m:oMath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             </w:t>
      </w:r>
      <w:r>
        <w:rPr>
          <w:rFonts w:hint="eastAsia" w:ascii="宋体" w:hAnsi="宋体" w:cs="宋体"/>
          <w:szCs w:val="21"/>
        </w:rPr>
        <w:t>公式（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）</w:t>
      </w:r>
    </w:p>
    <w:p>
      <w:pPr>
        <w:ind w:firstLine="420" w:firstLineChars="200"/>
        <w:jc w:val="left"/>
        <w:rPr>
          <w:rFonts w:hAnsi="宋体" w:cs="宋体"/>
          <w:szCs w:val="21"/>
        </w:rPr>
      </w:pPr>
      <w:r>
        <w:rPr>
          <w:rFonts w:hint="eastAsia" w:ascii="宋体" w:hAnsi="宋体" w:cs="宋体"/>
          <w:szCs w:val="21"/>
        </w:rPr>
        <w:t>式中：</w:t>
      </w:r>
      <w:r>
        <w:rPr>
          <w:rFonts w:hint="eastAsia" w:ascii="宋体" w:hAnsi="宋体" w:cs="宋体"/>
          <w:i/>
          <w:iCs/>
          <w:szCs w:val="21"/>
        </w:rPr>
        <w:t>R</w:t>
      </w:r>
      <w:r>
        <w:rPr>
          <w:rFonts w:hint="eastAsia" w:ascii="宋体" w:hAnsi="宋体" w:cs="宋体"/>
          <w:i/>
          <w:iCs/>
          <w:szCs w:val="21"/>
          <w:vertAlign w:val="subscript"/>
        </w:rPr>
        <w:t>U</w:t>
      </w:r>
      <w:r>
        <w:rPr>
          <w:rFonts w:hint="eastAsia" w:ascii="宋体" w:hAnsi="宋体" w:cs="宋体"/>
          <w:i/>
          <w:iCs/>
          <w:szCs w:val="21"/>
          <w:vertAlign w:val="subscript"/>
          <w:lang w:val="en-US" w:eastAsia="zh-CN"/>
        </w:rPr>
        <w:t>二苯甲酮</w:t>
      </w:r>
      <w:r>
        <w:rPr>
          <w:rFonts w:hint="eastAsia" w:hAnsi="宋体" w:cs="宋体"/>
          <w:szCs w:val="21"/>
        </w:rPr>
        <w:t>－样品溶液中二苯甲酮峰面积；</w:t>
      </w:r>
    </w:p>
    <w:p>
      <w:pPr>
        <w:pStyle w:val="57"/>
        <w:tabs>
          <w:tab w:val="center" w:pos="4201"/>
          <w:tab w:val="right" w:leader="dot" w:pos="9298"/>
        </w:tabs>
        <w:ind w:firstLine="1058" w:firstLineChars="504"/>
        <w:rPr>
          <w:rFonts w:hAnsi="宋体" w:cs="宋体"/>
          <w:kern w:val="2"/>
          <w:szCs w:val="21"/>
        </w:rPr>
      </w:pPr>
      <w:r>
        <w:rPr>
          <w:rFonts w:hint="eastAsia" w:hAnsi="宋体" w:cs="宋体"/>
          <w:i/>
          <w:iCs/>
          <w:kern w:val="2"/>
          <w:szCs w:val="21"/>
        </w:rPr>
        <w:t>R</w:t>
      </w:r>
      <w:r>
        <w:rPr>
          <w:rFonts w:hint="eastAsia" w:hAnsi="宋体" w:cs="宋体"/>
          <w:i/>
          <w:iCs/>
          <w:kern w:val="2"/>
          <w:szCs w:val="21"/>
          <w:vertAlign w:val="subscript"/>
        </w:rPr>
        <w:t>T</w:t>
      </w:r>
      <w:r>
        <w:rPr>
          <w:rFonts w:hint="eastAsia" w:hAnsi="宋体" w:cs="宋体"/>
          <w:kern w:val="2"/>
          <w:szCs w:val="21"/>
        </w:rPr>
        <w:t>－样品溶液中所有峰峰面积总和。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7 净含量</w:t>
      </w:r>
    </w:p>
    <w:p>
      <w:pPr>
        <w:pStyle w:val="57"/>
        <w:ind w:firstLine="420"/>
      </w:pPr>
      <w:r>
        <w:rPr>
          <w:rFonts w:hint="eastAsia"/>
        </w:rPr>
        <w:t>按 JJF 1070 执行。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8 检验规则</w:t>
      </w:r>
    </w:p>
    <w:p>
      <w:pPr>
        <w:pStyle w:val="57"/>
        <w:ind w:firstLine="420"/>
      </w:pPr>
      <w:r>
        <w:rPr>
          <w:rFonts w:hint="eastAsia"/>
        </w:rPr>
        <w:t>按 QB/T 1684 执行。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 标志、包装、运输、贮存、保质期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9.1 标志</w:t>
      </w:r>
    </w:p>
    <w:p>
      <w:pPr>
        <w:pStyle w:val="57"/>
        <w:ind w:firstLine="420"/>
      </w:pPr>
      <w:r>
        <w:rPr>
          <w:rFonts w:hint="eastAsia"/>
        </w:rPr>
        <w:t xml:space="preserve">按 </w:t>
      </w:r>
      <w:r>
        <w:rPr>
          <w:rFonts w:hint="eastAsia" w:hAnsi="宋体"/>
          <w:szCs w:val="21"/>
        </w:rPr>
        <w:t>G</w:t>
      </w:r>
      <w:r>
        <w:rPr>
          <w:rFonts w:hAnsi="宋体"/>
          <w:szCs w:val="21"/>
        </w:rPr>
        <w:t>B</w:t>
      </w:r>
      <w:r>
        <w:rPr>
          <w:rFonts w:hint="eastAsia" w:hAnsi="宋体"/>
          <w:szCs w:val="21"/>
        </w:rPr>
        <w:t>/</w:t>
      </w:r>
      <w:r>
        <w:rPr>
          <w:rFonts w:hAnsi="宋体"/>
          <w:szCs w:val="21"/>
        </w:rPr>
        <w:t xml:space="preserve">T </w:t>
      </w:r>
      <w:r>
        <w:rPr>
          <w:rFonts w:hint="eastAsia" w:hAnsi="宋体"/>
          <w:szCs w:val="21"/>
        </w:rPr>
        <w:t>191</w:t>
      </w:r>
      <w:r>
        <w:rPr>
          <w:rFonts w:hint="eastAsia"/>
        </w:rPr>
        <w:t>规定执行, 产品基础包装上应表明：产品名称、批号、数量、生产日期、生产商、生产地址、储存期等。</w:t>
      </w:r>
      <w:r>
        <w:rPr>
          <w:rFonts w:hint="eastAsia" w:hAnsi="宋体"/>
        </w:rPr>
        <w:t>订货单位如有特殊要求，可与生产厂另订协议。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9.2 包装</w:t>
      </w:r>
    </w:p>
    <w:p>
      <w:pPr>
        <w:pStyle w:val="57"/>
        <w:tabs>
          <w:tab w:val="center" w:pos="4201"/>
          <w:tab w:val="right" w:leader="dot" w:pos="9298"/>
        </w:tabs>
        <w:ind w:firstLine="420"/>
        <w:rPr>
          <w:rFonts w:hAnsi="宋体" w:cs="宋体"/>
        </w:rPr>
      </w:pPr>
      <w:r>
        <w:rPr>
          <w:rFonts w:hint="eastAsia" w:hAnsi="宋体" w:cs="宋体"/>
          <w:kern w:val="2"/>
          <w:szCs w:val="21"/>
        </w:rPr>
        <w:t>产品采用干燥洁净的高压聚乙烯塑料桶或PVF钢桶包装</w:t>
      </w:r>
      <w:r>
        <w:rPr>
          <w:rFonts w:hint="eastAsia" w:hAnsi="宋体" w:cs="宋体"/>
          <w:szCs w:val="21"/>
        </w:rPr>
        <w:t>，每桶净含量为25 kg、200 kg、1000 kg，或根据用户要求包装</w:t>
      </w:r>
      <w:r>
        <w:rPr>
          <w:rFonts w:hint="eastAsia" w:hAnsi="宋体" w:cs="宋体"/>
        </w:rPr>
        <w:t>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9.3 运输</w:t>
      </w:r>
    </w:p>
    <w:p>
      <w:pPr>
        <w:pStyle w:val="57"/>
        <w:ind w:firstLine="420"/>
        <w:rPr>
          <w:rFonts w:hAnsi="宋体"/>
        </w:rPr>
      </w:pPr>
      <w:r>
        <w:rPr>
          <w:rFonts w:ascii="Times New Roman"/>
          <w:szCs w:val="21"/>
          <w:lang w:val="zh-CN"/>
        </w:rPr>
        <w:t>本产品在运输时应防火、防热、防雨淋、防受潮</w:t>
      </w:r>
      <w:r>
        <w:rPr>
          <w:rFonts w:hint="eastAsia"/>
        </w:rPr>
        <w:t>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9.4 贮存</w:t>
      </w:r>
    </w:p>
    <w:p>
      <w:pPr>
        <w:pStyle w:val="57"/>
        <w:ind w:firstLine="420"/>
        <w:rPr>
          <w:rFonts w:hAnsi="宋体"/>
        </w:rPr>
      </w:pPr>
      <w:r>
        <w:rPr>
          <w:rFonts w:hint="eastAsia"/>
        </w:rPr>
        <w:t>干燥、通风、密封、避光、室温。</w:t>
      </w:r>
    </w:p>
    <w:p>
      <w:pPr>
        <w:pStyle w:val="90"/>
        <w:numPr>
          <w:ilvl w:val="255"/>
          <w:numId w:val="0"/>
        </w:numPr>
        <w:spacing w:before="312" w:beforeLines="100" w:after="312" w:afterLines="100"/>
      </w:pPr>
      <w:r>
        <w:rPr>
          <w:rFonts w:hint="eastAsia"/>
        </w:rPr>
        <w:t>9.5 保质期</w:t>
      </w:r>
    </w:p>
    <w:p>
      <w:pPr>
        <w:pStyle w:val="56"/>
        <w:numPr>
          <w:ilvl w:val="0"/>
          <w:numId w:val="0"/>
        </w:numPr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符合本标准的运输和贮存条件，包装完整、未经启封的情况下，复验期2年。</w:t>
      </w:r>
    </w:p>
    <w:p>
      <w:pPr>
        <w:pStyle w:val="57"/>
        <w:ind w:firstLine="0" w:firstLineChars="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pStyle w:val="57"/>
        <w:ind w:firstLine="420"/>
      </w:pPr>
    </w:p>
    <w:p>
      <w:pPr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 录 A</w:t>
      </w:r>
    </w:p>
    <w:p>
      <w:pPr>
        <w:jc w:val="center"/>
        <w:rPr>
          <w:rFonts w:eastAsia="黑体"/>
        </w:rPr>
      </w:pPr>
      <w:r>
        <w:rPr>
          <w:rFonts w:eastAsia="黑体"/>
        </w:rPr>
        <w:t>（资料性附录）</w:t>
      </w:r>
    </w:p>
    <w:p>
      <w:pPr>
        <w:jc w:val="center"/>
        <w:rPr>
          <w:rFonts w:eastAsia="黑体"/>
        </w:rPr>
      </w:pPr>
      <w:r>
        <w:rPr>
          <w:rFonts w:eastAsia="黑体"/>
        </w:rPr>
        <w:t>标准物质的</w:t>
      </w:r>
      <w:r>
        <w:rPr>
          <w:rFonts w:hint="eastAsia" w:eastAsia="黑体"/>
        </w:rPr>
        <w:t>气相色谱图谱</w:t>
      </w:r>
    </w:p>
    <w:p>
      <w:pPr>
        <w:pStyle w:val="57"/>
        <w:framePr w:w="3105" w:hSpace="181" w:vSpace="181" w:wrap="around" w:vAnchor="text" w:hAnchor="page" w:x="4264" w:y="6489"/>
        <w:tabs>
          <w:tab w:val="center" w:pos="4201"/>
          <w:tab w:val="right" w:leader="dot" w:pos="9298"/>
        </w:tabs>
        <w:ind w:firstLine="420"/>
        <w:jc w:val="center"/>
        <w:rPr>
          <w:rFonts w:ascii="Times New Roman"/>
        </w:rPr>
      </w:pPr>
    </w:p>
    <w:p>
      <w:pPr>
        <w:framePr w:w="3105" w:hSpace="181" w:vSpace="181" w:wrap="around" w:vAnchor="text" w:hAnchor="page" w:x="4264" w:y="6489"/>
        <w:jc w:val="center"/>
        <w:rPr>
          <w:kern w:val="0"/>
          <w:szCs w:val="20"/>
        </w:rPr>
      </w:pPr>
      <w:r>
        <w:t>________________________</w:t>
      </w:r>
    </w:p>
    <w:p>
      <w:pPr>
        <w:pStyle w:val="57"/>
        <w:ind w:firstLine="0" w:firstLineChars="0"/>
        <w:jc w:val="left"/>
      </w:pPr>
      <w:r>
        <w:drawing>
          <wp:inline distT="0" distB="0" distL="0" distR="0">
            <wp:extent cx="5940425" cy="3066415"/>
            <wp:effectExtent l="0" t="0" r="317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6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7"/>
        <w:ind w:firstLine="420"/>
        <w:jc w:val="center"/>
      </w:pPr>
      <w:r>
        <w:rPr>
          <w:rFonts w:hint="eastAsia" w:ascii="黑体" w:hAnsi="黑体" w:eastAsia="黑体" w:cs="黑体"/>
        </w:rPr>
        <w:t>图A.</w:t>
      </w:r>
      <w:r>
        <w:rPr>
          <w:rFonts w:ascii="黑体" w:hAnsi="黑体" w:eastAsia="黑体" w:cs="黑体"/>
        </w:rPr>
        <w:t>1</w:t>
      </w:r>
      <w:r>
        <w:rPr>
          <w:rFonts w:hint="eastAsia" w:ascii="黑体" w:hAnsi="黑体" w:eastAsia="黑体" w:cs="黑体"/>
        </w:rPr>
        <w:t xml:space="preserve"> </w:t>
      </w:r>
      <w:r>
        <w:rPr>
          <w:rFonts w:hint="eastAsia"/>
        </w:rPr>
        <w:t>奥克立林</w:t>
      </w:r>
      <w:r>
        <w:rPr>
          <w:rFonts w:hint="eastAsia" w:hAnsi="宋体" w:cs="宋体"/>
          <w:kern w:val="2"/>
          <w:szCs w:val="21"/>
        </w:rPr>
        <w:t>标准品气相色谱</w:t>
      </w:r>
      <w:r>
        <w:rPr>
          <w:rFonts w:hint="eastAsia"/>
        </w:rPr>
        <w:t>图谱图谱</w:t>
      </w:r>
    </w:p>
    <w:sectPr>
      <w:footerReference r:id="rId12" w:type="default"/>
      <w:pgSz w:w="11907" w:h="16839"/>
      <w:pgMar w:top="1418" w:right="1134" w:bottom="851" w:left="1418" w:header="1418" w:footer="851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2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4"/>
      <w:rPr>
        <w:rStyle w:val="34"/>
      </w:rPr>
    </w:pPr>
    <w:r>
      <w:fldChar w:fldCharType="begin"/>
    </w:r>
    <w:r>
      <w:rPr>
        <w:rStyle w:val="34"/>
      </w:rPr>
      <w:instrText xml:space="preserve">PAGE  </w:instrText>
    </w:r>
    <w:r>
      <w:fldChar w:fldCharType="separate"/>
    </w:r>
    <w:r>
      <w:rPr>
        <w:rStyle w:val="34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</w:pPr>
    <w:r>
      <w:t>SN/T ××××—200×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5"/>
    </w:pPr>
    <w:r>
      <w:t>SN/T ××××—200×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  <w:rPr>
        <w:rFonts w:ascii="黑体" w:hAnsi="黑体" w:eastAsia="黑体"/>
      </w:rPr>
    </w:pPr>
    <w:r>
      <w:rPr>
        <w:rFonts w:ascii="黑体" w:hAnsi="黑体" w:eastAsia="黑体"/>
      </w:rPr>
      <w:t>T/CAFFCI  XXXX—201X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1"/>
      <w:rPr>
        <w:rFonts w:ascii="黑体" w:hAnsi="黑体" w:eastAsia="黑体"/>
      </w:rPr>
    </w:pPr>
    <w:r>
      <w:rPr>
        <w:rFonts w:ascii="黑体" w:hAnsi="黑体" w:eastAsia="黑体"/>
      </w:rPr>
      <w:t>T/CAFFCI  XXXX—201X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88563A"/>
    <w:multiLevelType w:val="multilevel"/>
    <w:tmpl w:val="0588563A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707516E"/>
    <w:multiLevelType w:val="multilevel"/>
    <w:tmpl w:val="0707516E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7A611FB"/>
    <w:multiLevelType w:val="multilevel"/>
    <w:tmpl w:val="07A611FB"/>
    <w:lvl w:ilvl="0" w:tentative="0">
      <w:start w:val="2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5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0AE367E9"/>
    <w:multiLevelType w:val="multilevel"/>
    <w:tmpl w:val="0AE367E9"/>
    <w:lvl w:ilvl="0" w:tentative="0">
      <w:start w:val="1"/>
      <w:numFmt w:val="none"/>
      <w:pStyle w:val="86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1E170CDB"/>
    <w:multiLevelType w:val="multilevel"/>
    <w:tmpl w:val="1E170CDB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5506A9F"/>
    <w:multiLevelType w:val="multilevel"/>
    <w:tmpl w:val="35506A9F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3240B66"/>
    <w:multiLevelType w:val="multilevel"/>
    <w:tmpl w:val="43240B66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45F35014"/>
    <w:multiLevelType w:val="multilevel"/>
    <w:tmpl w:val="45F35014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6806F7D"/>
    <w:multiLevelType w:val="multilevel"/>
    <w:tmpl w:val="46806F7D"/>
    <w:lvl w:ilvl="0" w:tentative="0">
      <w:start w:val="1"/>
      <w:numFmt w:val="none"/>
      <w:pStyle w:val="98"/>
      <w:lvlText w:val="图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6D22D8F"/>
    <w:multiLevelType w:val="multilevel"/>
    <w:tmpl w:val="46D22D8F"/>
    <w:lvl w:ilvl="0" w:tentative="0">
      <w:start w:val="1"/>
      <w:numFmt w:val="none"/>
      <w:pStyle w:val="79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496E4D7B"/>
    <w:multiLevelType w:val="multilevel"/>
    <w:tmpl w:val="496E4D7B"/>
    <w:lvl w:ilvl="0" w:tentative="0">
      <w:start w:val="1"/>
      <w:numFmt w:val="none"/>
      <w:pStyle w:val="8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4F302902"/>
    <w:multiLevelType w:val="multilevel"/>
    <w:tmpl w:val="4F302902"/>
    <w:lvl w:ilvl="0" w:tentative="0">
      <w:start w:val="1"/>
      <w:numFmt w:val="none"/>
      <w:pStyle w:val="113"/>
      <w:lvlText w:val="表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  <w:b w:val="0"/>
        <w:i w:val="0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557C2AF5"/>
    <w:multiLevelType w:val="multilevel"/>
    <w:tmpl w:val="557C2AF5"/>
    <w:lvl w:ilvl="0" w:tentative="0">
      <w:start w:val="1"/>
      <w:numFmt w:val="decimal"/>
      <w:pStyle w:val="8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5870030F"/>
    <w:multiLevelType w:val="multilevel"/>
    <w:tmpl w:val="5870030F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8E91E42"/>
    <w:multiLevelType w:val="multilevel"/>
    <w:tmpl w:val="58E91E42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6350366A"/>
    <w:multiLevelType w:val="multilevel"/>
    <w:tmpl w:val="6350366A"/>
    <w:lvl w:ilvl="0" w:tentative="0">
      <w:start w:val="1"/>
      <w:numFmt w:val="none"/>
      <w:pStyle w:val="80"/>
      <w:lvlText w:val="%1●　"/>
      <w:lvlJc w:val="left"/>
      <w:pPr>
        <w:tabs>
          <w:tab w:val="left" w:pos="760"/>
        </w:tabs>
        <w:ind w:left="717" w:hanging="317"/>
      </w:pPr>
      <w:rPr>
        <w:rFonts w:hint="eastAsia" w:ascii="宋体" w:hAnsi="Times New Roman" w:eastAsia="宋体"/>
        <w:b w:val="0"/>
        <w:i w:val="0"/>
        <w:position w:val="4"/>
        <w:sz w:val="13"/>
      </w:rPr>
    </w:lvl>
    <w:lvl w:ilvl="1" w:tentative="0">
      <w:start w:val="1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%3)"/>
      <w:lvlJc w:val="left"/>
      <w:pPr>
        <w:tabs>
          <w:tab w:val="left" w:pos="1200"/>
        </w:tabs>
        <w:ind w:left="120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646260FA"/>
    <w:multiLevelType w:val="multilevel"/>
    <w:tmpl w:val="646260FA"/>
    <w:lvl w:ilvl="0" w:tentative="0">
      <w:start w:val="1"/>
      <w:numFmt w:val="decimal"/>
      <w:pStyle w:val="106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">
    <w:nsid w:val="65134B1D"/>
    <w:multiLevelType w:val="multilevel"/>
    <w:tmpl w:val="65134B1D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657D3FBC"/>
    <w:multiLevelType w:val="multilevel"/>
    <w:tmpl w:val="657D3FBC"/>
    <w:lvl w:ilvl="0" w:tentative="0">
      <w:start w:val="1"/>
      <w:numFmt w:val="upperLetter"/>
      <w:pStyle w:val="9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6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6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9">
    <w:nsid w:val="6B97584F"/>
    <w:multiLevelType w:val="multilevel"/>
    <w:tmpl w:val="6B97584F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90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5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1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4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1">
    <w:nsid w:val="6DBF04F4"/>
    <w:multiLevelType w:val="multilevel"/>
    <w:tmpl w:val="6DBF04F4"/>
    <w:lvl w:ilvl="0" w:tentative="0">
      <w:start w:val="1"/>
      <w:numFmt w:val="none"/>
      <w:pStyle w:val="116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>
    <w:nsid w:val="76933334"/>
    <w:multiLevelType w:val="multilevel"/>
    <w:tmpl w:val="76933334"/>
    <w:lvl w:ilvl="0" w:tentative="0">
      <w:start w:val="1"/>
      <w:numFmt w:val="none"/>
      <w:pStyle w:val="85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>
    <w:nsid w:val="7DB02D98"/>
    <w:multiLevelType w:val="multilevel"/>
    <w:tmpl w:val="7DB02D98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18"/>
  </w:num>
  <w:num w:numId="3">
    <w:abstractNumId w:val="9"/>
  </w:num>
  <w:num w:numId="4">
    <w:abstractNumId w:val="15"/>
  </w:num>
  <w:num w:numId="5">
    <w:abstractNumId w:val="12"/>
  </w:num>
  <w:num w:numId="6">
    <w:abstractNumId w:val="10"/>
  </w:num>
  <w:num w:numId="7">
    <w:abstractNumId w:val="22"/>
  </w:num>
  <w:num w:numId="8">
    <w:abstractNumId w:val="3"/>
  </w:num>
  <w:num w:numId="9">
    <w:abstractNumId w:val="8"/>
  </w:num>
  <w:num w:numId="10">
    <w:abstractNumId w:val="16"/>
  </w:num>
  <w:num w:numId="11">
    <w:abstractNumId w:val="11"/>
  </w:num>
  <w:num w:numId="12">
    <w:abstractNumId w:val="21"/>
  </w:num>
  <w:num w:numId="13">
    <w:abstractNumId w:val="5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3"/>
  </w:num>
  <w:num w:numId="18">
    <w:abstractNumId w:val="7"/>
  </w:num>
  <w:num w:numId="19">
    <w:abstractNumId w:val="17"/>
  </w:num>
  <w:num w:numId="20">
    <w:abstractNumId w:val="2"/>
  </w:num>
  <w:num w:numId="21">
    <w:abstractNumId w:val="19"/>
  </w:num>
  <w:num w:numId="22">
    <w:abstractNumId w:val="14"/>
  </w:num>
  <w:num w:numId="23">
    <w:abstractNumId w:val="6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OTE0NzFmZmNjYTVjODY0NTJmNTMzMDJiMjMwOTkifQ=="/>
  </w:docVars>
  <w:rsids>
    <w:rsidRoot w:val="00493CE6"/>
    <w:rsid w:val="0000299B"/>
    <w:rsid w:val="0000327E"/>
    <w:rsid w:val="000037B3"/>
    <w:rsid w:val="00004BA7"/>
    <w:rsid w:val="0000777F"/>
    <w:rsid w:val="000158B4"/>
    <w:rsid w:val="00016BB0"/>
    <w:rsid w:val="000212BD"/>
    <w:rsid w:val="0002161E"/>
    <w:rsid w:val="000235F6"/>
    <w:rsid w:val="000361C5"/>
    <w:rsid w:val="00037CF5"/>
    <w:rsid w:val="000414FD"/>
    <w:rsid w:val="00043468"/>
    <w:rsid w:val="000441D6"/>
    <w:rsid w:val="0005160C"/>
    <w:rsid w:val="00053FF8"/>
    <w:rsid w:val="00057614"/>
    <w:rsid w:val="00067CAB"/>
    <w:rsid w:val="000734E5"/>
    <w:rsid w:val="00073CF5"/>
    <w:rsid w:val="000748B1"/>
    <w:rsid w:val="00077063"/>
    <w:rsid w:val="00082025"/>
    <w:rsid w:val="00087F9E"/>
    <w:rsid w:val="00091A63"/>
    <w:rsid w:val="00097D6A"/>
    <w:rsid w:val="000A1E3B"/>
    <w:rsid w:val="000A485E"/>
    <w:rsid w:val="000A4F85"/>
    <w:rsid w:val="000A5D54"/>
    <w:rsid w:val="000A7BB9"/>
    <w:rsid w:val="000B6EA7"/>
    <w:rsid w:val="000C0117"/>
    <w:rsid w:val="000C07F3"/>
    <w:rsid w:val="000C08A3"/>
    <w:rsid w:val="000C0D66"/>
    <w:rsid w:val="000C1C02"/>
    <w:rsid w:val="000C2609"/>
    <w:rsid w:val="000C2664"/>
    <w:rsid w:val="000C4797"/>
    <w:rsid w:val="000C4D12"/>
    <w:rsid w:val="000C5A16"/>
    <w:rsid w:val="000C67E7"/>
    <w:rsid w:val="000C6906"/>
    <w:rsid w:val="000C7385"/>
    <w:rsid w:val="000D0AB9"/>
    <w:rsid w:val="000D498E"/>
    <w:rsid w:val="000E2EFA"/>
    <w:rsid w:val="000E300F"/>
    <w:rsid w:val="000E4180"/>
    <w:rsid w:val="000E4AC7"/>
    <w:rsid w:val="000E4E46"/>
    <w:rsid w:val="000E58B2"/>
    <w:rsid w:val="000E79EA"/>
    <w:rsid w:val="000F0121"/>
    <w:rsid w:val="000F2388"/>
    <w:rsid w:val="000F4A10"/>
    <w:rsid w:val="000F66FF"/>
    <w:rsid w:val="000F7F00"/>
    <w:rsid w:val="00102971"/>
    <w:rsid w:val="00103205"/>
    <w:rsid w:val="001070D1"/>
    <w:rsid w:val="0011369A"/>
    <w:rsid w:val="001164BB"/>
    <w:rsid w:val="001177F4"/>
    <w:rsid w:val="001201EE"/>
    <w:rsid w:val="00120619"/>
    <w:rsid w:val="00122BBA"/>
    <w:rsid w:val="00126829"/>
    <w:rsid w:val="001278D2"/>
    <w:rsid w:val="00130CB0"/>
    <w:rsid w:val="001316EB"/>
    <w:rsid w:val="00135691"/>
    <w:rsid w:val="0013642C"/>
    <w:rsid w:val="0014064F"/>
    <w:rsid w:val="00142D3D"/>
    <w:rsid w:val="001441B3"/>
    <w:rsid w:val="00144F12"/>
    <w:rsid w:val="00145D28"/>
    <w:rsid w:val="001468FC"/>
    <w:rsid w:val="00154743"/>
    <w:rsid w:val="00156526"/>
    <w:rsid w:val="00156DCD"/>
    <w:rsid w:val="001571C2"/>
    <w:rsid w:val="00165481"/>
    <w:rsid w:val="00167A5F"/>
    <w:rsid w:val="001716E3"/>
    <w:rsid w:val="0018017E"/>
    <w:rsid w:val="00186EF1"/>
    <w:rsid w:val="001920AD"/>
    <w:rsid w:val="00192D71"/>
    <w:rsid w:val="001931D9"/>
    <w:rsid w:val="001937BE"/>
    <w:rsid w:val="001A081F"/>
    <w:rsid w:val="001A191C"/>
    <w:rsid w:val="001A2C77"/>
    <w:rsid w:val="001A3A6A"/>
    <w:rsid w:val="001A5CFA"/>
    <w:rsid w:val="001A6CB6"/>
    <w:rsid w:val="001A6E59"/>
    <w:rsid w:val="001B1089"/>
    <w:rsid w:val="001B7904"/>
    <w:rsid w:val="001C3DF3"/>
    <w:rsid w:val="001C3E63"/>
    <w:rsid w:val="001C4B79"/>
    <w:rsid w:val="001C6325"/>
    <w:rsid w:val="001D7733"/>
    <w:rsid w:val="001E2315"/>
    <w:rsid w:val="001E2E40"/>
    <w:rsid w:val="001E34F5"/>
    <w:rsid w:val="001E74DE"/>
    <w:rsid w:val="001F2755"/>
    <w:rsid w:val="001F4E7A"/>
    <w:rsid w:val="001F72E7"/>
    <w:rsid w:val="00202A9E"/>
    <w:rsid w:val="002034E2"/>
    <w:rsid w:val="00204C53"/>
    <w:rsid w:val="00205C2C"/>
    <w:rsid w:val="002070F2"/>
    <w:rsid w:val="002110D8"/>
    <w:rsid w:val="002130D8"/>
    <w:rsid w:val="00215EC0"/>
    <w:rsid w:val="00217D68"/>
    <w:rsid w:val="00217D78"/>
    <w:rsid w:val="00220880"/>
    <w:rsid w:val="00220C09"/>
    <w:rsid w:val="002210EF"/>
    <w:rsid w:val="0022319B"/>
    <w:rsid w:val="00224777"/>
    <w:rsid w:val="00225B7C"/>
    <w:rsid w:val="00227C5E"/>
    <w:rsid w:val="0023476F"/>
    <w:rsid w:val="002364DC"/>
    <w:rsid w:val="00237A4F"/>
    <w:rsid w:val="00241A1D"/>
    <w:rsid w:val="00243D89"/>
    <w:rsid w:val="00252C87"/>
    <w:rsid w:val="00256B5D"/>
    <w:rsid w:val="00256C6A"/>
    <w:rsid w:val="0026383B"/>
    <w:rsid w:val="0026405C"/>
    <w:rsid w:val="00266D3D"/>
    <w:rsid w:val="00267213"/>
    <w:rsid w:val="00271706"/>
    <w:rsid w:val="00271987"/>
    <w:rsid w:val="00274E24"/>
    <w:rsid w:val="00284318"/>
    <w:rsid w:val="00284D5F"/>
    <w:rsid w:val="00285DE0"/>
    <w:rsid w:val="00292F94"/>
    <w:rsid w:val="00293530"/>
    <w:rsid w:val="002940DC"/>
    <w:rsid w:val="002A1D89"/>
    <w:rsid w:val="002A49C4"/>
    <w:rsid w:val="002B4EEE"/>
    <w:rsid w:val="002B670E"/>
    <w:rsid w:val="002C4C60"/>
    <w:rsid w:val="002C509C"/>
    <w:rsid w:val="002C5538"/>
    <w:rsid w:val="002C5E21"/>
    <w:rsid w:val="002C7AA8"/>
    <w:rsid w:val="002D3849"/>
    <w:rsid w:val="002D3ADA"/>
    <w:rsid w:val="002D6CB1"/>
    <w:rsid w:val="002E1A27"/>
    <w:rsid w:val="002E2C50"/>
    <w:rsid w:val="002F02EC"/>
    <w:rsid w:val="002F0B4C"/>
    <w:rsid w:val="00300650"/>
    <w:rsid w:val="00300A3C"/>
    <w:rsid w:val="00313831"/>
    <w:rsid w:val="00316EC8"/>
    <w:rsid w:val="00317184"/>
    <w:rsid w:val="003172BD"/>
    <w:rsid w:val="00317E3A"/>
    <w:rsid w:val="003203A8"/>
    <w:rsid w:val="003230D8"/>
    <w:rsid w:val="00330AFD"/>
    <w:rsid w:val="003317C1"/>
    <w:rsid w:val="0033274D"/>
    <w:rsid w:val="0033627C"/>
    <w:rsid w:val="00340927"/>
    <w:rsid w:val="003445FF"/>
    <w:rsid w:val="00350F53"/>
    <w:rsid w:val="00354B72"/>
    <w:rsid w:val="00357692"/>
    <w:rsid w:val="00357CB8"/>
    <w:rsid w:val="0036360A"/>
    <w:rsid w:val="00363A5F"/>
    <w:rsid w:val="00366C59"/>
    <w:rsid w:val="00370EA7"/>
    <w:rsid w:val="00371E9F"/>
    <w:rsid w:val="003723A4"/>
    <w:rsid w:val="00373DE5"/>
    <w:rsid w:val="003756C9"/>
    <w:rsid w:val="00383DD1"/>
    <w:rsid w:val="00384C61"/>
    <w:rsid w:val="00385075"/>
    <w:rsid w:val="00385527"/>
    <w:rsid w:val="00387EEF"/>
    <w:rsid w:val="0039011A"/>
    <w:rsid w:val="003973E3"/>
    <w:rsid w:val="003A014B"/>
    <w:rsid w:val="003A038C"/>
    <w:rsid w:val="003A5D39"/>
    <w:rsid w:val="003A5F2C"/>
    <w:rsid w:val="003A6E23"/>
    <w:rsid w:val="003A7DCC"/>
    <w:rsid w:val="003B53EA"/>
    <w:rsid w:val="003B58ED"/>
    <w:rsid w:val="003C2423"/>
    <w:rsid w:val="003C256D"/>
    <w:rsid w:val="003C6670"/>
    <w:rsid w:val="003D68A1"/>
    <w:rsid w:val="003E1A01"/>
    <w:rsid w:val="003E420D"/>
    <w:rsid w:val="003F190F"/>
    <w:rsid w:val="003F6B19"/>
    <w:rsid w:val="003F7194"/>
    <w:rsid w:val="00401985"/>
    <w:rsid w:val="004120EE"/>
    <w:rsid w:val="00413578"/>
    <w:rsid w:val="00414261"/>
    <w:rsid w:val="004146B6"/>
    <w:rsid w:val="0042188C"/>
    <w:rsid w:val="00423912"/>
    <w:rsid w:val="00424562"/>
    <w:rsid w:val="00427E7E"/>
    <w:rsid w:val="004304E0"/>
    <w:rsid w:val="0043356D"/>
    <w:rsid w:val="00435220"/>
    <w:rsid w:val="0044189B"/>
    <w:rsid w:val="00442CFD"/>
    <w:rsid w:val="00443234"/>
    <w:rsid w:val="00443A22"/>
    <w:rsid w:val="00445A73"/>
    <w:rsid w:val="004501C8"/>
    <w:rsid w:val="00451E8D"/>
    <w:rsid w:val="00453C03"/>
    <w:rsid w:val="004544DF"/>
    <w:rsid w:val="004650BA"/>
    <w:rsid w:val="00466F7C"/>
    <w:rsid w:val="0046720A"/>
    <w:rsid w:val="004709FD"/>
    <w:rsid w:val="004743C9"/>
    <w:rsid w:val="00474F2A"/>
    <w:rsid w:val="00475635"/>
    <w:rsid w:val="00486680"/>
    <w:rsid w:val="004911B6"/>
    <w:rsid w:val="00491DD6"/>
    <w:rsid w:val="004934F5"/>
    <w:rsid w:val="00493CE6"/>
    <w:rsid w:val="004953AD"/>
    <w:rsid w:val="00495B4A"/>
    <w:rsid w:val="00496623"/>
    <w:rsid w:val="00496819"/>
    <w:rsid w:val="00496A1F"/>
    <w:rsid w:val="0049724B"/>
    <w:rsid w:val="004A09EA"/>
    <w:rsid w:val="004A3A03"/>
    <w:rsid w:val="004A3CDD"/>
    <w:rsid w:val="004A43AD"/>
    <w:rsid w:val="004A5147"/>
    <w:rsid w:val="004B0396"/>
    <w:rsid w:val="004B1913"/>
    <w:rsid w:val="004B19D2"/>
    <w:rsid w:val="004B265F"/>
    <w:rsid w:val="004B501A"/>
    <w:rsid w:val="004B719C"/>
    <w:rsid w:val="004C0C46"/>
    <w:rsid w:val="004C1A01"/>
    <w:rsid w:val="004C2EF2"/>
    <w:rsid w:val="004C4230"/>
    <w:rsid w:val="004C4A7E"/>
    <w:rsid w:val="004C50DB"/>
    <w:rsid w:val="004C62CD"/>
    <w:rsid w:val="004C6451"/>
    <w:rsid w:val="004C7E9F"/>
    <w:rsid w:val="004D178C"/>
    <w:rsid w:val="004D3B16"/>
    <w:rsid w:val="004D5793"/>
    <w:rsid w:val="004D6B0B"/>
    <w:rsid w:val="004D6BAB"/>
    <w:rsid w:val="004E0328"/>
    <w:rsid w:val="004E0C00"/>
    <w:rsid w:val="004F0754"/>
    <w:rsid w:val="004F3097"/>
    <w:rsid w:val="004F4083"/>
    <w:rsid w:val="004F408A"/>
    <w:rsid w:val="004F4BC1"/>
    <w:rsid w:val="004F5609"/>
    <w:rsid w:val="004F7CF1"/>
    <w:rsid w:val="0050111A"/>
    <w:rsid w:val="005032DA"/>
    <w:rsid w:val="0050344F"/>
    <w:rsid w:val="00503B6E"/>
    <w:rsid w:val="005069E0"/>
    <w:rsid w:val="00507425"/>
    <w:rsid w:val="00507840"/>
    <w:rsid w:val="005115EC"/>
    <w:rsid w:val="00516B81"/>
    <w:rsid w:val="0052056A"/>
    <w:rsid w:val="00521A73"/>
    <w:rsid w:val="00523241"/>
    <w:rsid w:val="005232E3"/>
    <w:rsid w:val="00526FF4"/>
    <w:rsid w:val="00532A10"/>
    <w:rsid w:val="00534AA6"/>
    <w:rsid w:val="00541E4E"/>
    <w:rsid w:val="005421FB"/>
    <w:rsid w:val="0054618F"/>
    <w:rsid w:val="0054619B"/>
    <w:rsid w:val="00546BA1"/>
    <w:rsid w:val="00546F58"/>
    <w:rsid w:val="00553145"/>
    <w:rsid w:val="00556364"/>
    <w:rsid w:val="00556DCC"/>
    <w:rsid w:val="00557775"/>
    <w:rsid w:val="00561DEF"/>
    <w:rsid w:val="00565A72"/>
    <w:rsid w:val="00566895"/>
    <w:rsid w:val="005713A8"/>
    <w:rsid w:val="00574580"/>
    <w:rsid w:val="005747CD"/>
    <w:rsid w:val="005749D4"/>
    <w:rsid w:val="00582F57"/>
    <w:rsid w:val="00585DC3"/>
    <w:rsid w:val="0059298D"/>
    <w:rsid w:val="00592D7D"/>
    <w:rsid w:val="005937FD"/>
    <w:rsid w:val="00595421"/>
    <w:rsid w:val="0059632F"/>
    <w:rsid w:val="00597798"/>
    <w:rsid w:val="005A1430"/>
    <w:rsid w:val="005A169C"/>
    <w:rsid w:val="005A3DEB"/>
    <w:rsid w:val="005A3DF9"/>
    <w:rsid w:val="005A4247"/>
    <w:rsid w:val="005A6FE8"/>
    <w:rsid w:val="005A7E63"/>
    <w:rsid w:val="005B0066"/>
    <w:rsid w:val="005B21BD"/>
    <w:rsid w:val="005B2EB0"/>
    <w:rsid w:val="005B73F6"/>
    <w:rsid w:val="005B788B"/>
    <w:rsid w:val="005B7BC6"/>
    <w:rsid w:val="005C05CF"/>
    <w:rsid w:val="005C6905"/>
    <w:rsid w:val="005D20E8"/>
    <w:rsid w:val="005D4223"/>
    <w:rsid w:val="005D591B"/>
    <w:rsid w:val="005D5C86"/>
    <w:rsid w:val="005D6C4E"/>
    <w:rsid w:val="005D74D2"/>
    <w:rsid w:val="005E141B"/>
    <w:rsid w:val="005E1646"/>
    <w:rsid w:val="005E2482"/>
    <w:rsid w:val="005E3D2D"/>
    <w:rsid w:val="005E5E08"/>
    <w:rsid w:val="005F00AB"/>
    <w:rsid w:val="005F0756"/>
    <w:rsid w:val="005F10B4"/>
    <w:rsid w:val="005F2D94"/>
    <w:rsid w:val="005F2E21"/>
    <w:rsid w:val="005F77DB"/>
    <w:rsid w:val="00603987"/>
    <w:rsid w:val="0060426A"/>
    <w:rsid w:val="00616468"/>
    <w:rsid w:val="006232FC"/>
    <w:rsid w:val="00627545"/>
    <w:rsid w:val="00631AC0"/>
    <w:rsid w:val="00632E9F"/>
    <w:rsid w:val="00640A9D"/>
    <w:rsid w:val="00643992"/>
    <w:rsid w:val="00647F94"/>
    <w:rsid w:val="006501D8"/>
    <w:rsid w:val="00651A4A"/>
    <w:rsid w:val="00656B5A"/>
    <w:rsid w:val="006607C5"/>
    <w:rsid w:val="00667E73"/>
    <w:rsid w:val="006706FE"/>
    <w:rsid w:val="00671022"/>
    <w:rsid w:val="006718BC"/>
    <w:rsid w:val="0067738F"/>
    <w:rsid w:val="0067762A"/>
    <w:rsid w:val="0067772C"/>
    <w:rsid w:val="006813DB"/>
    <w:rsid w:val="006822A2"/>
    <w:rsid w:val="00684B1A"/>
    <w:rsid w:val="00684D3C"/>
    <w:rsid w:val="00686EF3"/>
    <w:rsid w:val="00693B60"/>
    <w:rsid w:val="006947FD"/>
    <w:rsid w:val="00694E9D"/>
    <w:rsid w:val="00695C58"/>
    <w:rsid w:val="00695E40"/>
    <w:rsid w:val="006A2B0B"/>
    <w:rsid w:val="006B28C1"/>
    <w:rsid w:val="006C03CC"/>
    <w:rsid w:val="006C2A17"/>
    <w:rsid w:val="006D032B"/>
    <w:rsid w:val="006D2047"/>
    <w:rsid w:val="006D32FE"/>
    <w:rsid w:val="006D451C"/>
    <w:rsid w:val="006D7B10"/>
    <w:rsid w:val="006E0537"/>
    <w:rsid w:val="006E28E3"/>
    <w:rsid w:val="006E48AF"/>
    <w:rsid w:val="006E5F87"/>
    <w:rsid w:val="006F12D9"/>
    <w:rsid w:val="006F12F6"/>
    <w:rsid w:val="006F5515"/>
    <w:rsid w:val="007019C3"/>
    <w:rsid w:val="00702434"/>
    <w:rsid w:val="00702458"/>
    <w:rsid w:val="0071054B"/>
    <w:rsid w:val="00710747"/>
    <w:rsid w:val="007133DA"/>
    <w:rsid w:val="0071597B"/>
    <w:rsid w:val="00726CE0"/>
    <w:rsid w:val="00727D9A"/>
    <w:rsid w:val="007360B6"/>
    <w:rsid w:val="0073797F"/>
    <w:rsid w:val="00737FBE"/>
    <w:rsid w:val="007402EB"/>
    <w:rsid w:val="00740E71"/>
    <w:rsid w:val="00743A5A"/>
    <w:rsid w:val="0074437B"/>
    <w:rsid w:val="007452AB"/>
    <w:rsid w:val="00747BF7"/>
    <w:rsid w:val="00750720"/>
    <w:rsid w:val="00751B50"/>
    <w:rsid w:val="007559CC"/>
    <w:rsid w:val="007579E8"/>
    <w:rsid w:val="0076033D"/>
    <w:rsid w:val="00762781"/>
    <w:rsid w:val="00764B8E"/>
    <w:rsid w:val="00764E59"/>
    <w:rsid w:val="0076583A"/>
    <w:rsid w:val="00770D3D"/>
    <w:rsid w:val="00771ACB"/>
    <w:rsid w:val="00781399"/>
    <w:rsid w:val="007823E6"/>
    <w:rsid w:val="00784081"/>
    <w:rsid w:val="00784235"/>
    <w:rsid w:val="00791A6F"/>
    <w:rsid w:val="0079296D"/>
    <w:rsid w:val="00797029"/>
    <w:rsid w:val="00797848"/>
    <w:rsid w:val="007A15F5"/>
    <w:rsid w:val="007A21DA"/>
    <w:rsid w:val="007A5CD6"/>
    <w:rsid w:val="007B16AC"/>
    <w:rsid w:val="007B216B"/>
    <w:rsid w:val="007B3E86"/>
    <w:rsid w:val="007B562C"/>
    <w:rsid w:val="007B79B8"/>
    <w:rsid w:val="007C0E7E"/>
    <w:rsid w:val="007C3786"/>
    <w:rsid w:val="007C5F9A"/>
    <w:rsid w:val="007C65A7"/>
    <w:rsid w:val="007C6E41"/>
    <w:rsid w:val="007D08EE"/>
    <w:rsid w:val="007D542E"/>
    <w:rsid w:val="007D5C35"/>
    <w:rsid w:val="007D7E4E"/>
    <w:rsid w:val="007E0483"/>
    <w:rsid w:val="007E261F"/>
    <w:rsid w:val="007E291C"/>
    <w:rsid w:val="007E4474"/>
    <w:rsid w:val="007E4D78"/>
    <w:rsid w:val="007E5B2E"/>
    <w:rsid w:val="007F0052"/>
    <w:rsid w:val="007F06C1"/>
    <w:rsid w:val="007F0D15"/>
    <w:rsid w:val="007F2201"/>
    <w:rsid w:val="0080085F"/>
    <w:rsid w:val="0080390B"/>
    <w:rsid w:val="00805B43"/>
    <w:rsid w:val="008061D0"/>
    <w:rsid w:val="008073A5"/>
    <w:rsid w:val="0081485B"/>
    <w:rsid w:val="00815009"/>
    <w:rsid w:val="00830325"/>
    <w:rsid w:val="00830BF5"/>
    <w:rsid w:val="008323D9"/>
    <w:rsid w:val="00834EE4"/>
    <w:rsid w:val="00835025"/>
    <w:rsid w:val="00835881"/>
    <w:rsid w:val="00835C7A"/>
    <w:rsid w:val="00841AB1"/>
    <w:rsid w:val="008459BA"/>
    <w:rsid w:val="0085427B"/>
    <w:rsid w:val="00854C74"/>
    <w:rsid w:val="0085554B"/>
    <w:rsid w:val="00856584"/>
    <w:rsid w:val="00861138"/>
    <w:rsid w:val="00863E82"/>
    <w:rsid w:val="00864AC8"/>
    <w:rsid w:val="008661F7"/>
    <w:rsid w:val="0086794D"/>
    <w:rsid w:val="00870033"/>
    <w:rsid w:val="00873A6A"/>
    <w:rsid w:val="008821F0"/>
    <w:rsid w:val="008827A6"/>
    <w:rsid w:val="0088451A"/>
    <w:rsid w:val="00884880"/>
    <w:rsid w:val="00886BE3"/>
    <w:rsid w:val="00890F13"/>
    <w:rsid w:val="00891645"/>
    <w:rsid w:val="008919F3"/>
    <w:rsid w:val="00892B09"/>
    <w:rsid w:val="008949D5"/>
    <w:rsid w:val="008951D8"/>
    <w:rsid w:val="00895DA3"/>
    <w:rsid w:val="008A033B"/>
    <w:rsid w:val="008A15E8"/>
    <w:rsid w:val="008A1999"/>
    <w:rsid w:val="008A3AE5"/>
    <w:rsid w:val="008A43E6"/>
    <w:rsid w:val="008A7C44"/>
    <w:rsid w:val="008B18C7"/>
    <w:rsid w:val="008B2767"/>
    <w:rsid w:val="008B2C6B"/>
    <w:rsid w:val="008B39B1"/>
    <w:rsid w:val="008B52EA"/>
    <w:rsid w:val="008B7ECF"/>
    <w:rsid w:val="008C1542"/>
    <w:rsid w:val="008C3EA6"/>
    <w:rsid w:val="008C6FDE"/>
    <w:rsid w:val="008D2EDE"/>
    <w:rsid w:val="008D32B8"/>
    <w:rsid w:val="008D76DD"/>
    <w:rsid w:val="008E0C20"/>
    <w:rsid w:val="008E1A9A"/>
    <w:rsid w:val="008E2CBE"/>
    <w:rsid w:val="008E35B8"/>
    <w:rsid w:val="008E705F"/>
    <w:rsid w:val="008F31EF"/>
    <w:rsid w:val="008F3661"/>
    <w:rsid w:val="008F4583"/>
    <w:rsid w:val="008F6134"/>
    <w:rsid w:val="008F7319"/>
    <w:rsid w:val="008F7D6E"/>
    <w:rsid w:val="009011C7"/>
    <w:rsid w:val="009040C8"/>
    <w:rsid w:val="00904A5E"/>
    <w:rsid w:val="00906DF1"/>
    <w:rsid w:val="009075F7"/>
    <w:rsid w:val="00914B26"/>
    <w:rsid w:val="00915F7D"/>
    <w:rsid w:val="00921249"/>
    <w:rsid w:val="00921793"/>
    <w:rsid w:val="009334BB"/>
    <w:rsid w:val="009364B9"/>
    <w:rsid w:val="00937DF4"/>
    <w:rsid w:val="00940445"/>
    <w:rsid w:val="00941B65"/>
    <w:rsid w:val="00951ECD"/>
    <w:rsid w:val="009537D8"/>
    <w:rsid w:val="0095582C"/>
    <w:rsid w:val="00965A32"/>
    <w:rsid w:val="00966BE9"/>
    <w:rsid w:val="00970F36"/>
    <w:rsid w:val="00971C15"/>
    <w:rsid w:val="009737D8"/>
    <w:rsid w:val="00973F00"/>
    <w:rsid w:val="00975B70"/>
    <w:rsid w:val="00976609"/>
    <w:rsid w:val="00982927"/>
    <w:rsid w:val="00985C80"/>
    <w:rsid w:val="009966CB"/>
    <w:rsid w:val="009A05D8"/>
    <w:rsid w:val="009A7959"/>
    <w:rsid w:val="009A7A4F"/>
    <w:rsid w:val="009B0803"/>
    <w:rsid w:val="009B09FD"/>
    <w:rsid w:val="009B2FBC"/>
    <w:rsid w:val="009B4836"/>
    <w:rsid w:val="009B7F43"/>
    <w:rsid w:val="009C0921"/>
    <w:rsid w:val="009C3FE5"/>
    <w:rsid w:val="009C7D23"/>
    <w:rsid w:val="009D2817"/>
    <w:rsid w:val="009D3FC8"/>
    <w:rsid w:val="009E2A09"/>
    <w:rsid w:val="009E3B3E"/>
    <w:rsid w:val="009E543B"/>
    <w:rsid w:val="009E7492"/>
    <w:rsid w:val="009F2C23"/>
    <w:rsid w:val="009F44F0"/>
    <w:rsid w:val="009F4789"/>
    <w:rsid w:val="00A04AB0"/>
    <w:rsid w:val="00A121FD"/>
    <w:rsid w:val="00A12F67"/>
    <w:rsid w:val="00A13EB4"/>
    <w:rsid w:val="00A22984"/>
    <w:rsid w:val="00A24D67"/>
    <w:rsid w:val="00A24FE2"/>
    <w:rsid w:val="00A2737E"/>
    <w:rsid w:val="00A27B9A"/>
    <w:rsid w:val="00A319C3"/>
    <w:rsid w:val="00A35EB8"/>
    <w:rsid w:val="00A37B53"/>
    <w:rsid w:val="00A37D7A"/>
    <w:rsid w:val="00A404C3"/>
    <w:rsid w:val="00A42909"/>
    <w:rsid w:val="00A4399B"/>
    <w:rsid w:val="00A44201"/>
    <w:rsid w:val="00A44EB0"/>
    <w:rsid w:val="00A46D12"/>
    <w:rsid w:val="00A54ED5"/>
    <w:rsid w:val="00A571B4"/>
    <w:rsid w:val="00A60A34"/>
    <w:rsid w:val="00A67870"/>
    <w:rsid w:val="00A706F7"/>
    <w:rsid w:val="00A723A0"/>
    <w:rsid w:val="00A728AA"/>
    <w:rsid w:val="00A72CE3"/>
    <w:rsid w:val="00A74D34"/>
    <w:rsid w:val="00A814B3"/>
    <w:rsid w:val="00A84758"/>
    <w:rsid w:val="00A85084"/>
    <w:rsid w:val="00A9103C"/>
    <w:rsid w:val="00AA455B"/>
    <w:rsid w:val="00AA51F1"/>
    <w:rsid w:val="00AA6FE8"/>
    <w:rsid w:val="00AA705E"/>
    <w:rsid w:val="00AB0364"/>
    <w:rsid w:val="00AB5243"/>
    <w:rsid w:val="00AC47CB"/>
    <w:rsid w:val="00AC4F21"/>
    <w:rsid w:val="00AC5DA4"/>
    <w:rsid w:val="00AC7121"/>
    <w:rsid w:val="00AD1CD2"/>
    <w:rsid w:val="00AE1FF2"/>
    <w:rsid w:val="00AF0770"/>
    <w:rsid w:val="00AF3948"/>
    <w:rsid w:val="00B00757"/>
    <w:rsid w:val="00B01D18"/>
    <w:rsid w:val="00B04BBA"/>
    <w:rsid w:val="00B063B8"/>
    <w:rsid w:val="00B10F0F"/>
    <w:rsid w:val="00B11D40"/>
    <w:rsid w:val="00B13699"/>
    <w:rsid w:val="00B14A63"/>
    <w:rsid w:val="00B23E49"/>
    <w:rsid w:val="00B24DD8"/>
    <w:rsid w:val="00B255D6"/>
    <w:rsid w:val="00B26622"/>
    <w:rsid w:val="00B27AC3"/>
    <w:rsid w:val="00B27EE2"/>
    <w:rsid w:val="00B32A22"/>
    <w:rsid w:val="00B35B5B"/>
    <w:rsid w:val="00B37B93"/>
    <w:rsid w:val="00B51F4E"/>
    <w:rsid w:val="00B550BC"/>
    <w:rsid w:val="00B610D7"/>
    <w:rsid w:val="00B6352D"/>
    <w:rsid w:val="00B63D09"/>
    <w:rsid w:val="00B6428B"/>
    <w:rsid w:val="00B6533F"/>
    <w:rsid w:val="00B67B96"/>
    <w:rsid w:val="00B7426C"/>
    <w:rsid w:val="00B7503F"/>
    <w:rsid w:val="00B86769"/>
    <w:rsid w:val="00B95218"/>
    <w:rsid w:val="00B964CF"/>
    <w:rsid w:val="00BA16E6"/>
    <w:rsid w:val="00BA32D8"/>
    <w:rsid w:val="00BA4899"/>
    <w:rsid w:val="00BA5587"/>
    <w:rsid w:val="00BA7F4F"/>
    <w:rsid w:val="00BB0751"/>
    <w:rsid w:val="00BB600C"/>
    <w:rsid w:val="00BC088A"/>
    <w:rsid w:val="00BC2A65"/>
    <w:rsid w:val="00BC4116"/>
    <w:rsid w:val="00BC5D0F"/>
    <w:rsid w:val="00BD2148"/>
    <w:rsid w:val="00BD4B59"/>
    <w:rsid w:val="00BD694F"/>
    <w:rsid w:val="00BE4B19"/>
    <w:rsid w:val="00BF0D48"/>
    <w:rsid w:val="00BF3A05"/>
    <w:rsid w:val="00BF3A14"/>
    <w:rsid w:val="00BF41FA"/>
    <w:rsid w:val="00BF49B3"/>
    <w:rsid w:val="00BF4E9D"/>
    <w:rsid w:val="00BF7259"/>
    <w:rsid w:val="00C003E7"/>
    <w:rsid w:val="00C02DAE"/>
    <w:rsid w:val="00C04A08"/>
    <w:rsid w:val="00C12E06"/>
    <w:rsid w:val="00C136B9"/>
    <w:rsid w:val="00C143F8"/>
    <w:rsid w:val="00C168BE"/>
    <w:rsid w:val="00C17DC2"/>
    <w:rsid w:val="00C17EE6"/>
    <w:rsid w:val="00C22C5D"/>
    <w:rsid w:val="00C23485"/>
    <w:rsid w:val="00C25B45"/>
    <w:rsid w:val="00C32216"/>
    <w:rsid w:val="00C35ED4"/>
    <w:rsid w:val="00C37848"/>
    <w:rsid w:val="00C471D7"/>
    <w:rsid w:val="00C50741"/>
    <w:rsid w:val="00C518C5"/>
    <w:rsid w:val="00C52321"/>
    <w:rsid w:val="00C524DF"/>
    <w:rsid w:val="00C625AF"/>
    <w:rsid w:val="00C6267B"/>
    <w:rsid w:val="00C82EE9"/>
    <w:rsid w:val="00C83D15"/>
    <w:rsid w:val="00C84054"/>
    <w:rsid w:val="00C8779E"/>
    <w:rsid w:val="00C877C9"/>
    <w:rsid w:val="00C902DA"/>
    <w:rsid w:val="00C90EE5"/>
    <w:rsid w:val="00C93E77"/>
    <w:rsid w:val="00C95329"/>
    <w:rsid w:val="00C96305"/>
    <w:rsid w:val="00CA5D71"/>
    <w:rsid w:val="00CB230F"/>
    <w:rsid w:val="00CC1198"/>
    <w:rsid w:val="00CC3D00"/>
    <w:rsid w:val="00CC60EC"/>
    <w:rsid w:val="00CC74CE"/>
    <w:rsid w:val="00CC7D94"/>
    <w:rsid w:val="00CD344C"/>
    <w:rsid w:val="00CD3A1B"/>
    <w:rsid w:val="00CD4BAA"/>
    <w:rsid w:val="00CD673B"/>
    <w:rsid w:val="00CD6802"/>
    <w:rsid w:val="00CE060B"/>
    <w:rsid w:val="00CE18DF"/>
    <w:rsid w:val="00CE1C06"/>
    <w:rsid w:val="00CE26DE"/>
    <w:rsid w:val="00CE580E"/>
    <w:rsid w:val="00CF0DF4"/>
    <w:rsid w:val="00CF4EA0"/>
    <w:rsid w:val="00CF5582"/>
    <w:rsid w:val="00CF62CE"/>
    <w:rsid w:val="00CF705E"/>
    <w:rsid w:val="00CF7FD0"/>
    <w:rsid w:val="00D02438"/>
    <w:rsid w:val="00D0377D"/>
    <w:rsid w:val="00D05EC0"/>
    <w:rsid w:val="00D11A32"/>
    <w:rsid w:val="00D14160"/>
    <w:rsid w:val="00D17D51"/>
    <w:rsid w:val="00D23540"/>
    <w:rsid w:val="00D27D43"/>
    <w:rsid w:val="00D308F3"/>
    <w:rsid w:val="00D30F7A"/>
    <w:rsid w:val="00D311F3"/>
    <w:rsid w:val="00D3351C"/>
    <w:rsid w:val="00D40AAB"/>
    <w:rsid w:val="00D42DDC"/>
    <w:rsid w:val="00D43C19"/>
    <w:rsid w:val="00D45428"/>
    <w:rsid w:val="00D46DBE"/>
    <w:rsid w:val="00D57725"/>
    <w:rsid w:val="00D61C34"/>
    <w:rsid w:val="00D62CF3"/>
    <w:rsid w:val="00D63635"/>
    <w:rsid w:val="00D64550"/>
    <w:rsid w:val="00D64F79"/>
    <w:rsid w:val="00D65C42"/>
    <w:rsid w:val="00D72888"/>
    <w:rsid w:val="00D74C10"/>
    <w:rsid w:val="00D76652"/>
    <w:rsid w:val="00D8271C"/>
    <w:rsid w:val="00D83E2A"/>
    <w:rsid w:val="00D84194"/>
    <w:rsid w:val="00D91F9B"/>
    <w:rsid w:val="00DA6168"/>
    <w:rsid w:val="00DB1410"/>
    <w:rsid w:val="00DB14BD"/>
    <w:rsid w:val="00DB1A67"/>
    <w:rsid w:val="00DB2F67"/>
    <w:rsid w:val="00DB3857"/>
    <w:rsid w:val="00DB3D03"/>
    <w:rsid w:val="00DC2236"/>
    <w:rsid w:val="00DD0D36"/>
    <w:rsid w:val="00DD4A98"/>
    <w:rsid w:val="00DD4EFD"/>
    <w:rsid w:val="00DE110F"/>
    <w:rsid w:val="00DE29EC"/>
    <w:rsid w:val="00DE31CC"/>
    <w:rsid w:val="00DE4903"/>
    <w:rsid w:val="00DE4F86"/>
    <w:rsid w:val="00DE62D4"/>
    <w:rsid w:val="00DF4DF5"/>
    <w:rsid w:val="00E0133A"/>
    <w:rsid w:val="00E017DD"/>
    <w:rsid w:val="00E03762"/>
    <w:rsid w:val="00E0724A"/>
    <w:rsid w:val="00E0791D"/>
    <w:rsid w:val="00E07BA9"/>
    <w:rsid w:val="00E1401D"/>
    <w:rsid w:val="00E1638D"/>
    <w:rsid w:val="00E22FDC"/>
    <w:rsid w:val="00E240F0"/>
    <w:rsid w:val="00E24F1F"/>
    <w:rsid w:val="00E30CB9"/>
    <w:rsid w:val="00E323FE"/>
    <w:rsid w:val="00E35056"/>
    <w:rsid w:val="00E3666A"/>
    <w:rsid w:val="00E3666C"/>
    <w:rsid w:val="00E37C9B"/>
    <w:rsid w:val="00E4121D"/>
    <w:rsid w:val="00E412AD"/>
    <w:rsid w:val="00E451F5"/>
    <w:rsid w:val="00E455B9"/>
    <w:rsid w:val="00E46A75"/>
    <w:rsid w:val="00E47026"/>
    <w:rsid w:val="00E512A7"/>
    <w:rsid w:val="00E52C82"/>
    <w:rsid w:val="00E55EB8"/>
    <w:rsid w:val="00E60BED"/>
    <w:rsid w:val="00E61B3F"/>
    <w:rsid w:val="00E62240"/>
    <w:rsid w:val="00E63D52"/>
    <w:rsid w:val="00E67C87"/>
    <w:rsid w:val="00E715F1"/>
    <w:rsid w:val="00E7351E"/>
    <w:rsid w:val="00E76EDC"/>
    <w:rsid w:val="00E81468"/>
    <w:rsid w:val="00E81631"/>
    <w:rsid w:val="00E843E3"/>
    <w:rsid w:val="00E85D4C"/>
    <w:rsid w:val="00E862ED"/>
    <w:rsid w:val="00E90E12"/>
    <w:rsid w:val="00E92EA0"/>
    <w:rsid w:val="00EA2124"/>
    <w:rsid w:val="00EA36A8"/>
    <w:rsid w:val="00EA6FEB"/>
    <w:rsid w:val="00EA755A"/>
    <w:rsid w:val="00EB3454"/>
    <w:rsid w:val="00EB41F0"/>
    <w:rsid w:val="00EC2595"/>
    <w:rsid w:val="00ED1466"/>
    <w:rsid w:val="00ED310E"/>
    <w:rsid w:val="00EE3150"/>
    <w:rsid w:val="00EE3511"/>
    <w:rsid w:val="00EE36A1"/>
    <w:rsid w:val="00EE4EA8"/>
    <w:rsid w:val="00EE55DE"/>
    <w:rsid w:val="00EE5A8B"/>
    <w:rsid w:val="00EF6CDB"/>
    <w:rsid w:val="00F00FD6"/>
    <w:rsid w:val="00F0114C"/>
    <w:rsid w:val="00F06D98"/>
    <w:rsid w:val="00F104EA"/>
    <w:rsid w:val="00F10B62"/>
    <w:rsid w:val="00F11740"/>
    <w:rsid w:val="00F1281E"/>
    <w:rsid w:val="00F14FFC"/>
    <w:rsid w:val="00F15887"/>
    <w:rsid w:val="00F167B6"/>
    <w:rsid w:val="00F179C9"/>
    <w:rsid w:val="00F20C34"/>
    <w:rsid w:val="00F21031"/>
    <w:rsid w:val="00F21682"/>
    <w:rsid w:val="00F22C98"/>
    <w:rsid w:val="00F23500"/>
    <w:rsid w:val="00F2625F"/>
    <w:rsid w:val="00F27385"/>
    <w:rsid w:val="00F3094D"/>
    <w:rsid w:val="00F31DA3"/>
    <w:rsid w:val="00F332F2"/>
    <w:rsid w:val="00F36F0B"/>
    <w:rsid w:val="00F37F7A"/>
    <w:rsid w:val="00F41894"/>
    <w:rsid w:val="00F420FE"/>
    <w:rsid w:val="00F43D25"/>
    <w:rsid w:val="00F440A4"/>
    <w:rsid w:val="00F52F24"/>
    <w:rsid w:val="00F537C4"/>
    <w:rsid w:val="00F53D68"/>
    <w:rsid w:val="00F53F5D"/>
    <w:rsid w:val="00F561F9"/>
    <w:rsid w:val="00F5655C"/>
    <w:rsid w:val="00F60CBF"/>
    <w:rsid w:val="00F61133"/>
    <w:rsid w:val="00F6480B"/>
    <w:rsid w:val="00F67AF6"/>
    <w:rsid w:val="00F73BCB"/>
    <w:rsid w:val="00F73F7D"/>
    <w:rsid w:val="00F8037B"/>
    <w:rsid w:val="00F8270C"/>
    <w:rsid w:val="00F84A5A"/>
    <w:rsid w:val="00F871C2"/>
    <w:rsid w:val="00F90553"/>
    <w:rsid w:val="00F924C6"/>
    <w:rsid w:val="00F9319B"/>
    <w:rsid w:val="00F94917"/>
    <w:rsid w:val="00FA796B"/>
    <w:rsid w:val="00FB65E1"/>
    <w:rsid w:val="00FB7957"/>
    <w:rsid w:val="00FC0874"/>
    <w:rsid w:val="00FC5158"/>
    <w:rsid w:val="00FC5505"/>
    <w:rsid w:val="00FD2375"/>
    <w:rsid w:val="00FD3BFA"/>
    <w:rsid w:val="00FD3C6F"/>
    <w:rsid w:val="00FD5D7D"/>
    <w:rsid w:val="00FE065B"/>
    <w:rsid w:val="00FE1109"/>
    <w:rsid w:val="00FE3FC1"/>
    <w:rsid w:val="00FE4AE4"/>
    <w:rsid w:val="00FF3E23"/>
    <w:rsid w:val="00FF441D"/>
    <w:rsid w:val="0D633037"/>
    <w:rsid w:val="105B522B"/>
    <w:rsid w:val="16806151"/>
    <w:rsid w:val="19A62D25"/>
    <w:rsid w:val="23F627A8"/>
    <w:rsid w:val="3E3C68EF"/>
    <w:rsid w:val="45420DD2"/>
    <w:rsid w:val="46831808"/>
    <w:rsid w:val="4B016D36"/>
    <w:rsid w:val="4F822493"/>
    <w:rsid w:val="56661BA2"/>
    <w:rsid w:val="5A042C61"/>
    <w:rsid w:val="5A3826C4"/>
    <w:rsid w:val="5C635007"/>
    <w:rsid w:val="5EEC43BA"/>
    <w:rsid w:val="63F04600"/>
    <w:rsid w:val="64CB5063"/>
    <w:rsid w:val="706E7877"/>
    <w:rsid w:val="72CC78CE"/>
    <w:rsid w:val="7BE2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</w:style>
  <w:style w:type="paragraph" w:styleId="12">
    <w:name w:val="toc 6"/>
    <w:basedOn w:val="13"/>
    <w:next w:val="1"/>
    <w:semiHidden/>
    <w:qFormat/>
    <w:uiPriority w:val="0"/>
  </w:style>
  <w:style w:type="paragraph" w:styleId="13">
    <w:name w:val="toc 5"/>
    <w:basedOn w:val="14"/>
    <w:next w:val="1"/>
    <w:semiHidden/>
    <w:qFormat/>
    <w:uiPriority w:val="0"/>
  </w:style>
  <w:style w:type="paragraph" w:styleId="14">
    <w:name w:val="toc 4"/>
    <w:basedOn w:val="15"/>
    <w:next w:val="1"/>
    <w:semiHidden/>
    <w:qFormat/>
    <w:uiPriority w:val="0"/>
  </w:style>
  <w:style w:type="paragraph" w:styleId="15">
    <w:name w:val="toc 3"/>
    <w:basedOn w:val="16"/>
    <w:next w:val="1"/>
    <w:semiHidden/>
    <w:qFormat/>
    <w:uiPriority w:val="0"/>
  </w:style>
  <w:style w:type="paragraph" w:styleId="16">
    <w:name w:val="toc 2"/>
    <w:basedOn w:val="17"/>
    <w:next w:val="1"/>
    <w:semiHidden/>
    <w:qFormat/>
    <w:uiPriority w:val="0"/>
  </w:style>
  <w:style w:type="paragraph" w:styleId="17">
    <w:name w:val="toc 1"/>
    <w:next w:val="1"/>
    <w:semiHidden/>
    <w:qFormat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46"/>
    <w:qFormat/>
    <w:uiPriority w:val="0"/>
    <w:pPr>
      <w:jc w:val="left"/>
    </w:pPr>
    <w:rPr>
      <w:rFonts w:ascii="Calibri" w:hAnsi="Calibri"/>
    </w:rPr>
  </w:style>
  <w:style w:type="paragraph" w:styleId="19">
    <w:name w:val="Body Text"/>
    <w:basedOn w:val="1"/>
    <w:link w:val="47"/>
    <w:qFormat/>
    <w:uiPriority w:val="99"/>
    <w:pPr>
      <w:tabs>
        <w:tab w:val="left" w:pos="8280"/>
      </w:tabs>
    </w:pPr>
    <w:rPr>
      <w:kern w:val="0"/>
      <w:sz w:val="24"/>
    </w:rPr>
  </w:style>
  <w:style w:type="paragraph" w:styleId="20">
    <w:name w:val="HTML Address"/>
    <w:basedOn w:val="1"/>
    <w:qFormat/>
    <w:uiPriority w:val="0"/>
    <w:rPr>
      <w:i/>
      <w:iCs/>
    </w:rPr>
  </w:style>
  <w:style w:type="paragraph" w:styleId="21">
    <w:name w:val="toc 8"/>
    <w:basedOn w:val="11"/>
    <w:next w:val="1"/>
    <w:semiHidden/>
    <w:qFormat/>
    <w:uiPriority w:val="0"/>
  </w:style>
  <w:style w:type="paragraph" w:styleId="22">
    <w:name w:val="Date"/>
    <w:basedOn w:val="1"/>
    <w:next w:val="1"/>
    <w:link w:val="48"/>
    <w:qFormat/>
    <w:uiPriority w:val="0"/>
    <w:pPr>
      <w:ind w:left="100" w:leftChars="2500"/>
    </w:pPr>
  </w:style>
  <w:style w:type="paragraph" w:styleId="23">
    <w:name w:val="Balloon Text"/>
    <w:basedOn w:val="1"/>
    <w:link w:val="49"/>
    <w:qFormat/>
    <w:uiPriority w:val="0"/>
    <w:rPr>
      <w:sz w:val="18"/>
      <w:szCs w:val="18"/>
    </w:rPr>
  </w:style>
  <w:style w:type="paragraph" w:styleId="24">
    <w:name w:val="footer"/>
    <w:basedOn w:val="1"/>
    <w:link w:val="50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25">
    <w:name w:val="header"/>
    <w:basedOn w:val="1"/>
    <w:link w:val="5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6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27">
    <w:name w:val="toc 9"/>
    <w:basedOn w:val="21"/>
    <w:next w:val="1"/>
    <w:semiHidden/>
    <w:qFormat/>
    <w:uiPriority w:val="0"/>
  </w:style>
  <w:style w:type="paragraph" w:styleId="28">
    <w:name w:val="HTML Preformatted"/>
    <w:basedOn w:val="1"/>
    <w:qFormat/>
    <w:uiPriority w:val="0"/>
    <w:rPr>
      <w:rFonts w:ascii="Courier New" w:hAnsi="Courier New" w:cs="Courier New"/>
      <w:sz w:val="20"/>
      <w:szCs w:val="20"/>
    </w:rPr>
  </w:style>
  <w:style w:type="paragraph" w:styleId="29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0">
    <w:name w:val="annotation subject"/>
    <w:basedOn w:val="18"/>
    <w:next w:val="18"/>
    <w:link w:val="52"/>
    <w:qFormat/>
    <w:uiPriority w:val="0"/>
    <w:rPr>
      <w:rFonts w:ascii="Times New Roman" w:hAnsi="Times New Roman"/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99"/>
    <w:rPr>
      <w:rFonts w:ascii="Times New Roman" w:hAnsi="Times New Roman" w:eastAsia="宋体"/>
      <w:sz w:val="18"/>
    </w:rPr>
  </w:style>
  <w:style w:type="character" w:styleId="35">
    <w:name w:val="HTML Definition"/>
    <w:qFormat/>
    <w:uiPriority w:val="0"/>
    <w:rPr>
      <w:i/>
      <w:iCs/>
    </w:rPr>
  </w:style>
  <w:style w:type="character" w:styleId="36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37">
    <w:name w:val="HTML Acronym"/>
    <w:qFormat/>
    <w:uiPriority w:val="0"/>
  </w:style>
  <w:style w:type="character" w:styleId="38">
    <w:name w:val="HTML Variable"/>
    <w:qFormat/>
    <w:uiPriority w:val="0"/>
    <w:rPr>
      <w:i/>
      <w:iCs/>
    </w:rPr>
  </w:style>
  <w:style w:type="character" w:styleId="39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0">
    <w:name w:val="HTML Code"/>
    <w:qFormat/>
    <w:uiPriority w:val="0"/>
    <w:rPr>
      <w:rFonts w:ascii="Courier New" w:hAnsi="Courier New"/>
      <w:sz w:val="20"/>
      <w:szCs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qFormat/>
    <w:uiPriority w:val="0"/>
    <w:rPr>
      <w:i/>
      <w:iCs/>
    </w:rPr>
  </w:style>
  <w:style w:type="character" w:styleId="43">
    <w:name w:val="footnote reference"/>
    <w:semiHidden/>
    <w:qFormat/>
    <w:uiPriority w:val="0"/>
    <w:rPr>
      <w:vertAlign w:val="superscript"/>
    </w:rPr>
  </w:style>
  <w:style w:type="character" w:styleId="44">
    <w:name w:val="HTML Keyboard"/>
    <w:qFormat/>
    <w:uiPriority w:val="0"/>
    <w:rPr>
      <w:rFonts w:ascii="Courier New" w:hAnsi="Courier New"/>
      <w:sz w:val="20"/>
      <w:szCs w:val="20"/>
    </w:rPr>
  </w:style>
  <w:style w:type="character" w:styleId="45">
    <w:name w:val="HTML Sample"/>
    <w:qFormat/>
    <w:uiPriority w:val="0"/>
    <w:rPr>
      <w:rFonts w:ascii="Courier New" w:hAnsi="Courier New"/>
    </w:rPr>
  </w:style>
  <w:style w:type="character" w:customStyle="1" w:styleId="46">
    <w:name w:val="批注文字 字符"/>
    <w:link w:val="18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7">
    <w:name w:val="正文文本 字符"/>
    <w:link w:val="19"/>
    <w:qFormat/>
    <w:uiPriority w:val="99"/>
    <w:rPr>
      <w:sz w:val="24"/>
      <w:szCs w:val="24"/>
    </w:rPr>
  </w:style>
  <w:style w:type="character" w:customStyle="1" w:styleId="48">
    <w:name w:val="日期 字符"/>
    <w:link w:val="22"/>
    <w:qFormat/>
    <w:uiPriority w:val="0"/>
    <w:rPr>
      <w:kern w:val="2"/>
      <w:sz w:val="21"/>
      <w:szCs w:val="24"/>
    </w:rPr>
  </w:style>
  <w:style w:type="character" w:customStyle="1" w:styleId="49">
    <w:name w:val="批注框文本 字符"/>
    <w:link w:val="23"/>
    <w:qFormat/>
    <w:uiPriority w:val="0"/>
    <w:rPr>
      <w:kern w:val="2"/>
      <w:sz w:val="18"/>
      <w:szCs w:val="18"/>
    </w:rPr>
  </w:style>
  <w:style w:type="character" w:customStyle="1" w:styleId="50">
    <w:name w:val="页脚 字符"/>
    <w:link w:val="24"/>
    <w:qFormat/>
    <w:uiPriority w:val="99"/>
    <w:rPr>
      <w:kern w:val="2"/>
      <w:sz w:val="18"/>
      <w:szCs w:val="18"/>
    </w:rPr>
  </w:style>
  <w:style w:type="character" w:customStyle="1" w:styleId="51">
    <w:name w:val="页眉 字符"/>
    <w:link w:val="25"/>
    <w:qFormat/>
    <w:uiPriority w:val="0"/>
    <w:rPr>
      <w:kern w:val="2"/>
      <w:sz w:val="18"/>
      <w:szCs w:val="18"/>
    </w:rPr>
  </w:style>
  <w:style w:type="character" w:customStyle="1" w:styleId="52">
    <w:name w:val="批注主题 字符"/>
    <w:link w:val="30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5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5">
    <w:name w:val="一级条标题 Char"/>
    <w:link w:val="56"/>
    <w:qFormat/>
    <w:uiPriority w:val="0"/>
    <w:rPr>
      <w:rFonts w:eastAsia="黑体"/>
      <w:sz w:val="21"/>
    </w:rPr>
  </w:style>
  <w:style w:type="paragraph" w:customStyle="1" w:styleId="56">
    <w:name w:val="一级条标题"/>
    <w:next w:val="57"/>
    <w:link w:val="55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7">
    <w:name w:val="段"/>
    <w:link w:val="5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8">
    <w:name w:val="段 Char"/>
    <w:link w:val="57"/>
    <w:qFormat/>
    <w:uiPriority w:val="0"/>
    <w:rPr>
      <w:rFonts w:ascii="宋体"/>
      <w:sz w:val="21"/>
      <w:lang w:val="en-US" w:eastAsia="zh-CN" w:bidi="ar-SA"/>
    </w:rPr>
  </w:style>
  <w:style w:type="character" w:customStyle="1" w:styleId="59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二级条标题 Char"/>
    <w:link w:val="61"/>
    <w:qFormat/>
    <w:uiPriority w:val="0"/>
  </w:style>
  <w:style w:type="paragraph" w:customStyle="1" w:styleId="61">
    <w:name w:val="二级条标题"/>
    <w:basedOn w:val="56"/>
    <w:next w:val="57"/>
    <w:link w:val="60"/>
    <w:qFormat/>
    <w:uiPriority w:val="0"/>
    <w:pPr>
      <w:numPr>
        <w:ilvl w:val="3"/>
      </w:numPr>
      <w:outlineLvl w:val="3"/>
    </w:pPr>
  </w:style>
  <w:style w:type="character" w:customStyle="1" w:styleId="6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paragraph" w:customStyle="1" w:styleId="63">
    <w:name w:val="四级条标题"/>
    <w:basedOn w:val="64"/>
    <w:next w:val="57"/>
    <w:qFormat/>
    <w:uiPriority w:val="0"/>
    <w:pPr>
      <w:numPr>
        <w:ilvl w:val="5"/>
      </w:numPr>
      <w:outlineLvl w:val="5"/>
    </w:pPr>
  </w:style>
  <w:style w:type="paragraph" w:customStyle="1" w:styleId="64">
    <w:name w:val="三级条标题"/>
    <w:basedOn w:val="61"/>
    <w:next w:val="57"/>
    <w:qFormat/>
    <w:uiPriority w:val="0"/>
    <w:pPr>
      <w:numPr>
        <w:ilvl w:val="4"/>
      </w:numPr>
      <w:outlineLvl w:val="4"/>
    </w:pPr>
  </w:style>
  <w:style w:type="paragraph" w:customStyle="1" w:styleId="65">
    <w:name w:val="附录二级条标题"/>
    <w:basedOn w:val="66"/>
    <w:next w:val="57"/>
    <w:qFormat/>
    <w:uiPriority w:val="0"/>
    <w:pPr>
      <w:numPr>
        <w:ilvl w:val="3"/>
      </w:numPr>
      <w:outlineLvl w:val="3"/>
    </w:pPr>
  </w:style>
  <w:style w:type="paragraph" w:customStyle="1" w:styleId="66">
    <w:name w:val="附录一级条标题"/>
    <w:basedOn w:val="67"/>
    <w:next w:val="57"/>
    <w:qFormat/>
    <w:uiPriority w:val="0"/>
    <w:pPr>
      <w:numPr>
        <w:ilvl w:val="2"/>
      </w:numPr>
      <w:autoSpaceDN w:val="0"/>
      <w:spacing w:before="0" w:beforeLines="0" w:after="0" w:afterLines="0"/>
      <w:outlineLvl w:val="2"/>
    </w:pPr>
  </w:style>
  <w:style w:type="paragraph" w:customStyle="1" w:styleId="67">
    <w:name w:val="附录章标题"/>
    <w:next w:val="57"/>
    <w:qFormat/>
    <w:uiPriority w:val="0"/>
    <w:pPr>
      <w:numPr>
        <w:ilvl w:val="1"/>
        <w:numId w:val="2"/>
      </w:num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68">
    <w:name w:val="附录四级条标题"/>
    <w:basedOn w:val="69"/>
    <w:next w:val="57"/>
    <w:qFormat/>
    <w:uiPriority w:val="0"/>
    <w:pPr>
      <w:numPr>
        <w:ilvl w:val="5"/>
      </w:numPr>
      <w:outlineLvl w:val="5"/>
    </w:pPr>
  </w:style>
  <w:style w:type="paragraph" w:customStyle="1" w:styleId="69">
    <w:name w:val="附录三级条标题"/>
    <w:basedOn w:val="65"/>
    <w:next w:val="57"/>
    <w:qFormat/>
    <w:uiPriority w:val="0"/>
    <w:pPr>
      <w:numPr>
        <w:ilvl w:val="4"/>
      </w:numPr>
      <w:outlineLvl w:val="4"/>
    </w:pPr>
  </w:style>
  <w:style w:type="paragraph" w:customStyle="1" w:styleId="70">
    <w:name w:val="封面正文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1">
    <w:name w:val="标准书眉_奇数页"/>
    <w:next w:val="1"/>
    <w:qFormat/>
    <w:uiPriority w:val="99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2">
    <w:name w:val="正文公式编号制表符"/>
    <w:basedOn w:val="57"/>
    <w:next w:val="57"/>
    <w:qFormat/>
    <w:uiPriority w:val="0"/>
    <w:pPr>
      <w:tabs>
        <w:tab w:val="center" w:pos="4201"/>
        <w:tab w:val="right" w:leader="dot" w:pos="9298"/>
      </w:tabs>
      <w:ind w:firstLine="0" w:firstLineChars="0"/>
    </w:pPr>
  </w:style>
  <w:style w:type="paragraph" w:customStyle="1" w:styleId="73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5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标准表题"/>
    <w:basedOn w:val="1"/>
    <w:next w:val="57"/>
    <w:qFormat/>
    <w:uiPriority w:val="0"/>
    <w:pPr>
      <w:widowControl/>
      <w:jc w:val="center"/>
    </w:pPr>
    <w:rPr>
      <w:rFonts w:ascii="黑体" w:eastAsia="黑体"/>
      <w:kern w:val="21"/>
    </w:rPr>
  </w:style>
  <w:style w:type="paragraph" w:customStyle="1" w:styleId="77">
    <w:name w:val="目次、标准名称标题"/>
    <w:basedOn w:val="78"/>
    <w:next w:val="57"/>
    <w:qFormat/>
    <w:uiPriority w:val="0"/>
    <w:pPr>
      <w:numPr>
        <w:numId w:val="0"/>
      </w:numPr>
      <w:spacing w:line="460" w:lineRule="exact"/>
    </w:pPr>
  </w:style>
  <w:style w:type="paragraph" w:customStyle="1" w:styleId="78">
    <w:name w:val="前言、引言标题"/>
    <w:next w:val="1"/>
    <w:qFormat/>
    <w:uiPriority w:val="99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列项◆（三级）"/>
    <w:qFormat/>
    <w:uiPriority w:val="0"/>
    <w:pPr>
      <w:numPr>
        <w:ilvl w:val="0"/>
        <w:numId w:val="3"/>
      </w:num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0">
    <w:name w:val="列项●（二级）"/>
    <w:qFormat/>
    <w:uiPriority w:val="0"/>
    <w:pPr>
      <w:numPr>
        <w:ilvl w:val="0"/>
        <w:numId w:val="4"/>
      </w:numPr>
      <w:tabs>
        <w:tab w:val="left" w:pos="840"/>
      </w:tabs>
      <w:ind w:left="6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1">
    <w:name w:val="正文图标题"/>
    <w:next w:val="57"/>
    <w:qFormat/>
    <w:uiPriority w:val="0"/>
    <w:pPr>
      <w:numPr>
        <w:ilvl w:val="0"/>
        <w:numId w:val="5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2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3">
    <w:name w:val="五级条标题"/>
    <w:basedOn w:val="63"/>
    <w:next w:val="57"/>
    <w:qFormat/>
    <w:uiPriority w:val="0"/>
    <w:pPr>
      <w:numPr>
        <w:ilvl w:val="6"/>
      </w:numPr>
      <w:outlineLvl w:val="6"/>
    </w:pPr>
  </w:style>
  <w:style w:type="paragraph" w:customStyle="1" w:styleId="84">
    <w:name w:val="注×："/>
    <w:qFormat/>
    <w:uiPriority w:val="0"/>
    <w:pPr>
      <w:widowControl w:val="0"/>
      <w:numPr>
        <w:ilvl w:val="0"/>
        <w:numId w:val="6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5">
    <w:name w:val="列项——（一级）"/>
    <w:qFormat/>
    <w:uiPriority w:val="0"/>
    <w:pPr>
      <w:widowControl w:val="0"/>
      <w:numPr>
        <w:ilvl w:val="0"/>
        <w:numId w:val="7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6">
    <w:name w:val="示例"/>
    <w:next w:val="57"/>
    <w:qFormat/>
    <w:uiPriority w:val="0"/>
    <w:pPr>
      <w:numPr>
        <w:ilvl w:val="0"/>
        <w:numId w:val="8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7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8">
    <w:name w:val="其他标准称谓"/>
    <w:qFormat/>
    <w:uiPriority w:val="99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9">
    <w:name w:val="图表脚注"/>
    <w:next w:val="57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0">
    <w:name w:val="章标题"/>
    <w:next w:val="57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1">
    <w:name w:val="附录标识"/>
    <w:basedOn w:val="78"/>
    <w:qFormat/>
    <w:uiPriority w:val="0"/>
    <w:pPr>
      <w:numPr>
        <w:ilvl w:val="0"/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92">
    <w:name w:val="封面标准号2"/>
    <w:basedOn w:val="93"/>
    <w:qFormat/>
    <w:uiPriority w:val="0"/>
    <w:pPr>
      <w:framePr w:w="9138" w:h="1244" w:hRule="exact" w:wrap="around" w:vAnchor="page" w:hAnchor="margin" w:y="2908"/>
      <w:adjustRightInd w:val="0"/>
      <w:spacing w:before="357" w:line="280" w:lineRule="exact"/>
    </w:pPr>
  </w:style>
  <w:style w:type="paragraph" w:customStyle="1" w:styleId="93">
    <w:name w:val="封面标准号1"/>
    <w:qFormat/>
    <w:uiPriority w:val="9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5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6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97">
    <w:name w:val="文献分类号"/>
    <w:qFormat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8">
    <w:name w:val="附录图标题"/>
    <w:next w:val="57"/>
    <w:qFormat/>
    <w:uiPriority w:val="0"/>
    <w:pPr>
      <w:numPr>
        <w:ilvl w:val="0"/>
        <w:numId w:val="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9">
    <w:name w:val="条文脚注"/>
    <w:basedOn w:val="26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00">
    <w:name w:val="发布部门"/>
    <w:next w:val="57"/>
    <w:qFormat/>
    <w:uiPriority w:val="99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0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2">
    <w:name w:val="标准书脚_偶数页"/>
    <w:qFormat/>
    <w:uiPriority w:val="99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03">
    <w:name w:val="附录五级条标题"/>
    <w:basedOn w:val="68"/>
    <w:next w:val="57"/>
    <w:qFormat/>
    <w:uiPriority w:val="0"/>
    <w:pPr>
      <w:numPr>
        <w:ilvl w:val="6"/>
      </w:numPr>
      <w:outlineLvl w:val="6"/>
    </w:pPr>
  </w:style>
  <w:style w:type="paragraph" w:customStyle="1" w:styleId="104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05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06">
    <w:name w:val="正文表标题"/>
    <w:next w:val="57"/>
    <w:qFormat/>
    <w:uiPriority w:val="0"/>
    <w:pPr>
      <w:numPr>
        <w:ilvl w:val="0"/>
        <w:numId w:val="10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10">
    <w:name w:val="其他发布部门"/>
    <w:basedOn w:val="10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11">
    <w:name w:val="封面标准代替信息"/>
    <w:basedOn w:val="92"/>
    <w:qFormat/>
    <w:uiPriority w:val="0"/>
    <w:pPr>
      <w:framePr w:wrap="around"/>
      <w:spacing w:before="57"/>
    </w:pPr>
    <w:rPr>
      <w:rFonts w:ascii="宋体"/>
      <w:sz w:val="21"/>
    </w:rPr>
  </w:style>
  <w:style w:type="paragraph" w:customStyle="1" w:styleId="112">
    <w:name w:val="实施日期"/>
    <w:basedOn w:val="105"/>
    <w:qFormat/>
    <w:uiPriority w:val="99"/>
    <w:pPr>
      <w:framePr w:hSpace="0" w:wrap="around" w:xAlign="right"/>
      <w:jc w:val="right"/>
    </w:pPr>
  </w:style>
  <w:style w:type="paragraph" w:customStyle="1" w:styleId="113">
    <w:name w:val="附录表标题"/>
    <w:next w:val="57"/>
    <w:qFormat/>
    <w:uiPriority w:val="0"/>
    <w:pPr>
      <w:numPr>
        <w:ilvl w:val="0"/>
        <w:numId w:val="11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14">
    <w:name w:val="标准书脚_奇数页"/>
    <w:qFormat/>
    <w:uiPriority w:val="99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15">
    <w:name w:val="标准书眉_偶数页"/>
    <w:basedOn w:val="71"/>
    <w:next w:val="1"/>
    <w:qFormat/>
    <w:uiPriority w:val="99"/>
    <w:pPr>
      <w:jc w:val="left"/>
    </w:pPr>
  </w:style>
  <w:style w:type="paragraph" w:customStyle="1" w:styleId="116">
    <w:name w:val="注："/>
    <w:next w:val="57"/>
    <w:qFormat/>
    <w:uiPriority w:val="0"/>
    <w:pPr>
      <w:widowControl w:val="0"/>
      <w:numPr>
        <w:ilvl w:val="0"/>
        <w:numId w:val="12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styleId="117">
    <w:name w:val="List Paragraph"/>
    <w:basedOn w:val="1"/>
    <w:qFormat/>
    <w:uiPriority w:val="99"/>
    <w:pPr>
      <w:ind w:firstLine="420" w:firstLineChars="200"/>
    </w:pPr>
  </w:style>
  <w:style w:type="character" w:styleId="118">
    <w:name w:val="Placeholder Text"/>
    <w:basedOn w:val="33"/>
    <w:unhideWhenUsed/>
    <w:qFormat/>
    <w:uiPriority w:val="99"/>
    <w:rPr>
      <w:color w:val="808080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2.jpeg"/><Relationship Id="rId15" Type="http://schemas.openxmlformats.org/officeDocument/2006/relationships/image" Target="media/image1.e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\tds2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tds2</Template>
  <Company>CNIS</Company>
  <Pages>11</Pages>
  <Words>3656</Words>
  <Characters>4417</Characters>
  <Lines>39</Lines>
  <Paragraphs>11</Paragraphs>
  <TotalTime>0</TotalTime>
  <ScaleCrop>false</ScaleCrop>
  <LinksUpToDate>false</LinksUpToDate>
  <CharactersWithSpaces>4783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2022-04-30T03:13:00Z</dcterms:created>
  <dc:creator>zhengying</dc:creator>
  <cp:lastModifiedBy>张鹏</cp:lastModifiedBy>
  <cp:lastPrinted>2021-03-16T07:04:00Z</cp:lastPrinted>
  <dcterms:modified xsi:type="dcterms:W3CDTF">2022-08-31T02:19:38Z</dcterms:modified>
  <dc:title> </dc:title>
  <cp:revision>305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  <property fmtid="{D5CDD505-2E9C-101B-9397-08002B2CF9AE}" pid="3" name="KSOProductBuildVer">
    <vt:lpwstr>2052-11.1.0.12302</vt:lpwstr>
  </property>
  <property fmtid="{D5CDD505-2E9C-101B-9397-08002B2CF9AE}" pid="4" name="ICV">
    <vt:lpwstr>EC690ADC8F5449BBA2E20353EE3548D9</vt:lpwstr>
  </property>
</Properties>
</file>